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34244" w14:textId="77777777" w:rsidR="003230F8" w:rsidRDefault="003230F8" w:rsidP="003230F8">
      <w:pPr>
        <w:jc w:val="center"/>
        <w:rPr>
          <w:rFonts w:ascii="Montserrat" w:hAnsi="Montserrat"/>
          <w:b/>
          <w:bCs/>
          <w:color w:val="002060"/>
          <w:sz w:val="32"/>
          <w:szCs w:val="32"/>
          <w:lang w:val="en-GB"/>
        </w:rPr>
      </w:pPr>
    </w:p>
    <w:p w14:paraId="324F8860" w14:textId="77777777" w:rsidR="003E5C55" w:rsidRDefault="003E5C55" w:rsidP="003E5C55">
      <w:pPr>
        <w:jc w:val="center"/>
        <w:rPr>
          <w:rFonts w:ascii="Montserrat" w:hAnsi="Montserrat"/>
          <w:b/>
          <w:bCs/>
          <w:color w:val="002060"/>
          <w:sz w:val="32"/>
          <w:szCs w:val="32"/>
          <w:lang w:val="en-GB"/>
        </w:rPr>
      </w:pPr>
      <w:proofErr w:type="spellStart"/>
      <w:r w:rsidRPr="003E5C55">
        <w:rPr>
          <w:rFonts w:ascii="Montserrat" w:hAnsi="Montserrat"/>
          <w:b/>
          <w:bCs/>
          <w:color w:val="002060"/>
          <w:sz w:val="32"/>
          <w:szCs w:val="32"/>
          <w:lang w:val="en-GB"/>
        </w:rPr>
        <w:t>Europex</w:t>
      </w:r>
      <w:proofErr w:type="spellEnd"/>
      <w:r w:rsidRPr="003E5C55">
        <w:rPr>
          <w:rFonts w:ascii="Montserrat" w:hAnsi="Montserrat"/>
          <w:b/>
          <w:bCs/>
          <w:color w:val="002060"/>
          <w:sz w:val="32"/>
          <w:szCs w:val="32"/>
          <w:lang w:val="en-GB"/>
        </w:rPr>
        <w:t xml:space="preserve"> Consultation response to the ACER consultation on the Amendment of the </w:t>
      </w:r>
    </w:p>
    <w:p w14:paraId="7D9B3755" w14:textId="766F990D" w:rsidR="003E5C55" w:rsidRDefault="003E5C55" w:rsidP="003E5C55">
      <w:pPr>
        <w:jc w:val="center"/>
        <w:rPr>
          <w:rFonts w:ascii="Montserrat" w:hAnsi="Montserrat"/>
          <w:b/>
          <w:bCs/>
          <w:color w:val="002060"/>
          <w:sz w:val="32"/>
          <w:szCs w:val="32"/>
          <w:lang w:val="en-GB"/>
        </w:rPr>
      </w:pPr>
      <w:r w:rsidRPr="003E5C55">
        <w:rPr>
          <w:rFonts w:ascii="Montserrat" w:hAnsi="Montserrat"/>
          <w:b/>
          <w:bCs/>
          <w:color w:val="002060"/>
          <w:sz w:val="32"/>
          <w:szCs w:val="32"/>
          <w:lang w:val="en-GB"/>
        </w:rPr>
        <w:t>SAP and the HAR (2026)</w:t>
      </w:r>
    </w:p>
    <w:p w14:paraId="0C5E546C" w14:textId="77777777" w:rsidR="00B82BDD" w:rsidRPr="003E5C55" w:rsidRDefault="00B82BDD" w:rsidP="003E5C55">
      <w:pPr>
        <w:jc w:val="center"/>
        <w:rPr>
          <w:rFonts w:ascii="Montserrat" w:hAnsi="Montserrat"/>
          <w:b/>
          <w:bCs/>
          <w:color w:val="002060"/>
          <w:sz w:val="32"/>
          <w:szCs w:val="32"/>
          <w:lang w:val="en-GB"/>
        </w:rPr>
      </w:pPr>
    </w:p>
    <w:p w14:paraId="745803B2" w14:textId="68B57BAF" w:rsidR="0002051C" w:rsidRPr="006D43C7" w:rsidRDefault="00930619" w:rsidP="00EF0171">
      <w:pPr>
        <w:jc w:val="both"/>
        <w:rPr>
          <w:rFonts w:ascii="Aptos" w:hAnsi="Aptos" w:cs="Arial"/>
          <w:color w:val="808080" w:themeColor="background1" w:themeShade="80"/>
          <w:sz w:val="22"/>
          <w:szCs w:val="22"/>
          <w:lang w:val="en-GB"/>
        </w:rPr>
      </w:pPr>
      <w:r w:rsidRPr="006D43C7">
        <w:rPr>
          <w:rFonts w:ascii="Aptos" w:hAnsi="Aptos" w:cs="Arial"/>
          <w:color w:val="808080" w:themeColor="background1" w:themeShade="80"/>
          <w:sz w:val="22"/>
          <w:szCs w:val="22"/>
          <w:lang w:val="en-GB"/>
        </w:rPr>
        <w:t>Brussels</w:t>
      </w:r>
      <w:r w:rsidR="00A65CEB" w:rsidRPr="006D43C7">
        <w:rPr>
          <w:rFonts w:ascii="Aptos" w:hAnsi="Aptos" w:cs="Arial"/>
          <w:color w:val="808080" w:themeColor="background1" w:themeShade="80"/>
          <w:sz w:val="22"/>
          <w:szCs w:val="22"/>
          <w:lang w:val="en-GB"/>
        </w:rPr>
        <w:t>,</w:t>
      </w:r>
      <w:r w:rsidR="001F5C2B" w:rsidRPr="006D43C7">
        <w:rPr>
          <w:rFonts w:ascii="Aptos" w:hAnsi="Aptos" w:cs="Arial"/>
          <w:color w:val="808080" w:themeColor="background1" w:themeShade="80"/>
          <w:sz w:val="22"/>
          <w:szCs w:val="22"/>
          <w:lang w:val="en-GB"/>
        </w:rPr>
        <w:t xml:space="preserve"> </w:t>
      </w:r>
      <w:r w:rsidR="006A6AF3">
        <w:rPr>
          <w:rFonts w:ascii="Aptos" w:hAnsi="Aptos" w:cs="Arial"/>
          <w:color w:val="808080" w:themeColor="background1" w:themeShade="80"/>
          <w:sz w:val="22"/>
          <w:szCs w:val="22"/>
          <w:lang w:val="en-GB"/>
        </w:rPr>
        <w:t>1</w:t>
      </w:r>
      <w:r w:rsidR="000862B6">
        <w:rPr>
          <w:rFonts w:ascii="Aptos" w:hAnsi="Aptos" w:cs="Arial"/>
          <w:color w:val="808080" w:themeColor="background1" w:themeShade="80"/>
          <w:sz w:val="22"/>
          <w:szCs w:val="22"/>
          <w:lang w:val="en-GB"/>
        </w:rPr>
        <w:t>6</w:t>
      </w:r>
      <w:r w:rsidR="00960CD0">
        <w:rPr>
          <w:rFonts w:ascii="Aptos" w:hAnsi="Aptos" w:cs="Arial"/>
          <w:color w:val="808080" w:themeColor="background1" w:themeShade="80"/>
          <w:sz w:val="22"/>
          <w:szCs w:val="22"/>
          <w:lang w:val="en-GB"/>
        </w:rPr>
        <w:t xml:space="preserve"> June</w:t>
      </w:r>
      <w:r w:rsidR="00940E40" w:rsidRPr="006D43C7">
        <w:rPr>
          <w:rFonts w:ascii="Aptos" w:hAnsi="Aptos" w:cs="Arial"/>
          <w:color w:val="808080" w:themeColor="background1" w:themeShade="80"/>
          <w:sz w:val="22"/>
          <w:szCs w:val="22"/>
          <w:lang w:val="en-GB"/>
        </w:rPr>
        <w:t xml:space="preserve"> </w:t>
      </w:r>
      <w:r w:rsidRPr="006D43C7">
        <w:rPr>
          <w:rFonts w:ascii="Aptos" w:hAnsi="Aptos" w:cs="Arial"/>
          <w:color w:val="808080" w:themeColor="background1" w:themeShade="80"/>
          <w:sz w:val="22"/>
          <w:szCs w:val="22"/>
          <w:lang w:val="en-GB"/>
        </w:rPr>
        <w:t>2026</w:t>
      </w:r>
    </w:p>
    <w:p w14:paraId="3984FD7C" w14:textId="77777777" w:rsidR="006D43C7" w:rsidRPr="006D43C7" w:rsidRDefault="006D43C7" w:rsidP="00EF0171">
      <w:pPr>
        <w:jc w:val="both"/>
        <w:rPr>
          <w:rFonts w:ascii="Aptos" w:hAnsi="Aptos" w:cs="Poppins"/>
          <w:color w:val="808080" w:themeColor="background1" w:themeShade="80"/>
          <w:sz w:val="22"/>
          <w:szCs w:val="22"/>
          <w:lang w:val="en-GB"/>
        </w:rPr>
      </w:pPr>
    </w:p>
    <w:p w14:paraId="46C4C670" w14:textId="79BABF28" w:rsidR="00D04AD8" w:rsidRPr="00327F6D" w:rsidRDefault="006D43C7" w:rsidP="006D43C7">
      <w:pPr>
        <w:pStyle w:val="paragraph"/>
        <w:spacing w:before="0" w:beforeAutospacing="0" w:after="0" w:afterAutospacing="0"/>
        <w:jc w:val="both"/>
        <w:textAlignment w:val="baseline"/>
        <w:rPr>
          <w:rStyle w:val="normaltextrun"/>
          <w:rFonts w:ascii="Aptos" w:hAnsi="Aptos" w:cs="Segoe UI"/>
          <w:b/>
          <w:bCs/>
          <w:color w:val="05A785"/>
          <w:lang w:val="en-GB"/>
        </w:rPr>
      </w:pPr>
      <w:r w:rsidRPr="00327F6D">
        <w:rPr>
          <w:rStyle w:val="normaltextrun"/>
          <w:rFonts w:ascii="Aptos" w:hAnsi="Aptos" w:cs="Segoe UI"/>
          <w:b/>
          <w:bCs/>
          <w:color w:val="05A785"/>
          <w:lang w:val="en-GB"/>
        </w:rPr>
        <w:t xml:space="preserve">1. </w:t>
      </w:r>
      <w:r w:rsidR="007B5B94" w:rsidRPr="00327F6D">
        <w:rPr>
          <w:rStyle w:val="normaltextrun"/>
          <w:rFonts w:ascii="Aptos" w:hAnsi="Aptos" w:cs="Segoe UI"/>
          <w:b/>
          <w:bCs/>
          <w:color w:val="05A785"/>
          <w:lang w:val="en-GB"/>
        </w:rPr>
        <w:t>Introduction</w:t>
      </w:r>
    </w:p>
    <w:p w14:paraId="7E59EBAF" w14:textId="77777777" w:rsid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Europex welcomes the opportunity to respond to ACER's public consultation on the proposed amendments to the FCA GL (Regulation) related Harmonised Allocation Rules (HAR) and Single Allocation Platform (SAP) requirements. </w:t>
      </w:r>
    </w:p>
    <w:p w14:paraId="369160B2" w14:textId="77777777" w:rsidR="003E5C55" w:rsidRDefault="003E5C55" w:rsidP="003E5C55">
      <w:pPr>
        <w:spacing w:before="120" w:after="120" w:line="276" w:lineRule="auto"/>
        <w:jc w:val="both"/>
        <w:rPr>
          <w:rFonts w:ascii="Aptos" w:hAnsi="Aptos" w:cs="Calibri"/>
          <w:sz w:val="22"/>
          <w:szCs w:val="22"/>
          <w:lang w:val="en-GB"/>
        </w:rPr>
      </w:pPr>
    </w:p>
    <w:p w14:paraId="2E1C9A2C" w14:textId="5AB39614" w:rsidR="003E5C55" w:rsidRP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As the association representing European energy exchanges, Europex has a direct interest in ensuring that the regulatory framework for LTTR FTRs,  just as the alternative market based instruments TSOs may offer in primary auctions in accordance with FCA GL, provides support of forward hedging opportunities and operates efficiently, in a manner that is complementary to, rather than competitive with, well-functioning exchange-based forward markets and instruments. In addition to our responses to the questions posed in this consultation, we wish to reiterate our concerns about the suitability and efficiency of Flow-Based Allocation for primary auctions (e.g. LTTR FTR). The FCA GL reserves for TSOs the role of supporting forward hedging only when an assessment of cross-zonal hedging opportunities deems existing hedging opportunities inssuficient. In this sense, it must be noted that FTRs do not allocate cross-zonal capacity nor reflect physical positions.</w:t>
      </w:r>
    </w:p>
    <w:p w14:paraId="6B582248" w14:textId="77777777" w:rsidR="003230F8" w:rsidRPr="003230F8" w:rsidRDefault="003230F8" w:rsidP="003230F8">
      <w:pPr>
        <w:spacing w:before="120" w:after="120" w:line="276" w:lineRule="auto"/>
        <w:jc w:val="both"/>
        <w:rPr>
          <w:rStyle w:val="normaltextrun"/>
          <w:rFonts w:ascii="Aptos" w:hAnsi="Aptos" w:cs="Calibri"/>
          <w:sz w:val="22"/>
          <w:szCs w:val="22"/>
          <w:lang w:val="en-GB"/>
        </w:rPr>
      </w:pPr>
    </w:p>
    <w:p w14:paraId="0F714565" w14:textId="63461221" w:rsidR="003E5C55" w:rsidRPr="003E5C55" w:rsidRDefault="006D43C7" w:rsidP="003E5C55">
      <w:pPr>
        <w:pStyle w:val="paragraph"/>
        <w:spacing w:before="0" w:beforeAutospacing="0" w:after="0" w:afterAutospacing="0"/>
        <w:jc w:val="both"/>
        <w:textAlignment w:val="baseline"/>
        <w:rPr>
          <w:rFonts w:ascii="Aptos" w:hAnsi="Aptos" w:cs="Segoe UI"/>
          <w:b/>
          <w:bCs/>
          <w:color w:val="05A785"/>
          <w:lang w:val="en-GB"/>
        </w:rPr>
      </w:pPr>
      <w:r w:rsidRPr="00327F6D">
        <w:rPr>
          <w:rStyle w:val="normaltextrun"/>
          <w:rFonts w:ascii="Aptos" w:hAnsi="Aptos" w:cs="Segoe UI"/>
          <w:b/>
          <w:bCs/>
          <w:color w:val="05A785"/>
          <w:lang w:val="en-GB"/>
        </w:rPr>
        <w:t xml:space="preserve">2. </w:t>
      </w:r>
      <w:proofErr w:type="gramStart"/>
      <w:r w:rsidR="003E5C55" w:rsidRPr="003E5C55">
        <w:rPr>
          <w:rStyle w:val="normaltextrun"/>
          <w:rFonts w:ascii="Aptos" w:hAnsi="Aptos" w:cs="Segoe UI"/>
          <w:b/>
          <w:bCs/>
          <w:color w:val="05A785"/>
          <w:lang w:val="en-GB"/>
        </w:rPr>
        <w:t>C</w:t>
      </w:r>
      <w:r w:rsidR="003E5C55">
        <w:rPr>
          <w:rStyle w:val="normaltextrun"/>
          <w:rFonts w:ascii="Aptos" w:hAnsi="Aptos" w:cs="Segoe UI"/>
          <w:b/>
          <w:bCs/>
          <w:color w:val="05A785"/>
          <w:lang w:val="en-GB"/>
        </w:rPr>
        <w:t xml:space="preserve">ollateral </w:t>
      </w:r>
      <w:r w:rsidR="003E5C55" w:rsidRPr="003E5C55">
        <w:rPr>
          <w:rStyle w:val="normaltextrun"/>
          <w:rFonts w:ascii="Aptos" w:hAnsi="Aptos" w:cs="Segoe UI"/>
          <w:b/>
          <w:bCs/>
          <w:color w:val="05A785"/>
          <w:lang w:val="en-GB"/>
        </w:rPr>
        <w:t xml:space="preserve"> M</w:t>
      </w:r>
      <w:r w:rsidR="003E5C55">
        <w:rPr>
          <w:rStyle w:val="normaltextrun"/>
          <w:rFonts w:ascii="Aptos" w:hAnsi="Aptos" w:cs="Segoe UI"/>
          <w:b/>
          <w:bCs/>
          <w:color w:val="05A785"/>
          <w:lang w:val="en-GB"/>
        </w:rPr>
        <w:t>anagement</w:t>
      </w:r>
      <w:proofErr w:type="gramEnd"/>
    </w:p>
    <w:p w14:paraId="4D7C1D60" w14:textId="77777777" w:rsid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The accumulation of collateral requirements across all borders in the forthcoming single LTFBA auction, instead of currently discrete LTTR FTR ATC based auctions border-by-border, is, based on assessments made by e.g. ENTSO-E, expected to lead to a substantial increase in the collateral call, i.e, financial burden, for very many participants. The current bid price cap approach for independently auctioned LTTRs is based on the provided background material understood to </w:t>
      </w:r>
      <w:proofErr w:type="gramStart"/>
      <w:r w:rsidRPr="003E5C55">
        <w:rPr>
          <w:rFonts w:ascii="Aptos" w:hAnsi="Aptos" w:cs="Calibri"/>
          <w:sz w:val="22"/>
          <w:szCs w:val="22"/>
          <w:lang w:val="en-GB"/>
        </w:rPr>
        <w:t>be  overestimating</w:t>
      </w:r>
      <w:proofErr w:type="gramEnd"/>
      <w:r w:rsidRPr="003E5C55">
        <w:rPr>
          <w:rFonts w:ascii="Aptos" w:hAnsi="Aptos" w:cs="Calibri"/>
          <w:sz w:val="22"/>
          <w:szCs w:val="22"/>
          <w:lang w:val="en-GB"/>
        </w:rPr>
        <w:t xml:space="preserve"> final payment obligations and simultaneously exposing TSOs to residual settlement risk, and if applied in simultaneous auctioning of all LTTR FTRs via a LTFBA model those “deficiencies” are expected to increase, thus serving neither market participants nor TSOs well. </w:t>
      </w:r>
    </w:p>
    <w:p w14:paraId="161E293F" w14:textId="77777777" w:rsidR="003E5C55" w:rsidRPr="003E5C55" w:rsidRDefault="003E5C55" w:rsidP="003E5C55">
      <w:pPr>
        <w:spacing w:before="120" w:after="120" w:line="276" w:lineRule="auto"/>
        <w:jc w:val="both"/>
        <w:rPr>
          <w:rFonts w:ascii="Aptos" w:hAnsi="Aptos" w:cs="Calibri"/>
          <w:sz w:val="22"/>
          <w:szCs w:val="22"/>
          <w:lang w:val="en-GB"/>
        </w:rPr>
      </w:pPr>
    </w:p>
    <w:p w14:paraId="2D7FBEAC" w14:textId="77777777" w:rsid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However, the implementation timeline of the proposed solution, e.g. optimal bid filtering based on auction final FTR clearing prices, is a critical concern. LTFBA auctions are targeted to commence November 2026, yet the improved collateral solution is noted to not be available until </w:t>
      </w:r>
      <w:r w:rsidRPr="003E5C55">
        <w:rPr>
          <w:rFonts w:ascii="Aptos" w:hAnsi="Aptos" w:cs="Calibri"/>
          <w:sz w:val="22"/>
          <w:szCs w:val="22"/>
          <w:lang w:val="en-GB"/>
        </w:rPr>
        <w:lastRenderedPageBreak/>
        <w:t xml:space="preserve">November 2027 at the earliest, and potentially November 2028. Market participants will therefore be exposed to higher collateral requirements for at least one full year of flow-based LTTR FTR auctions. This situation invites reflection on whether the current  arrangements for LTTR auction infrastructure are best placed to deliver the level of market efficiency, technical sophistication and implementation speed that the evolving framework demands. We raise this concern also as a note that recurring implementation challenges in this space deserve careful consideration in the context of the ongoing FCA Regulation review. </w:t>
      </w:r>
    </w:p>
    <w:p w14:paraId="229AD214" w14:textId="77777777" w:rsidR="003E5C55" w:rsidRPr="003E5C55" w:rsidRDefault="003E5C55" w:rsidP="003E5C55">
      <w:pPr>
        <w:spacing w:before="120" w:after="120" w:line="276" w:lineRule="auto"/>
        <w:jc w:val="both"/>
        <w:rPr>
          <w:rFonts w:ascii="Aptos" w:hAnsi="Aptos" w:cs="Calibri"/>
          <w:sz w:val="22"/>
          <w:szCs w:val="22"/>
          <w:lang w:val="en-GB"/>
        </w:rPr>
      </w:pPr>
    </w:p>
    <w:p w14:paraId="18C29B50" w14:textId="77777777" w:rsid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On the reserved collateral mechanism (Article 23a): Europex welcomes this as a useful tool giving participants greater control over financial exposure. However, optimising collateral exposures, and as such also LTTR FTR prices and volumes activated, across a multi-border simultaneous LTFBA auction requires analytical capabilities which may not be available across the participant base, and potentially also generally hampered by lack of transparency of key parameters applied in the LTFBA model. A general remark is that the mechanism should not create additional complexity that disadvantages especially smaller participants with forward hedging needs of future expected energy supply/demand.</w:t>
      </w:r>
    </w:p>
    <w:p w14:paraId="70540EF9" w14:textId="77777777" w:rsidR="003E5C55" w:rsidRPr="003E5C55" w:rsidRDefault="003E5C55" w:rsidP="003E5C55">
      <w:pPr>
        <w:spacing w:before="120" w:after="120" w:line="276" w:lineRule="auto"/>
        <w:jc w:val="both"/>
        <w:rPr>
          <w:rFonts w:ascii="Aptos" w:hAnsi="Aptos" w:cs="Calibri"/>
          <w:sz w:val="22"/>
          <w:szCs w:val="22"/>
          <w:lang w:val="en-GB"/>
        </w:rPr>
      </w:pPr>
    </w:p>
    <w:p w14:paraId="24A28A2A" w14:textId="77777777" w:rsid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LTFBA mechanically increases collateral exposure for participants wishing to bid across multiple borders, and can also be the case when a party only bids linked to one (“cross- border”) LTTR FTR. This appears like a fundamental characteristic of the LTFBA design, and it is likely going to disadvantage smaller participants relative to larger, better-capitalised ones. A de facto reduced, or at least skewed participant base results in less competitive price discovery and volume allocation (activations) in LTTR FTR LTFBA auctions, which risks to reduce the forward hedging opportunities that TSO auctioned LTTR FTRs, just like any alternative market based instrument, should support, and affects the distribution and efficiency of TSO congestion income being recycled to the market - and ultimately the costs borne by end consumers.</w:t>
      </w:r>
    </w:p>
    <w:p w14:paraId="7CCD02D5" w14:textId="63CF5952" w:rsidR="003E5C55" w:rsidRPr="003E5C55" w:rsidRDefault="003E5C55" w:rsidP="003E5C55">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 </w:t>
      </w:r>
    </w:p>
    <w:p w14:paraId="5FF29D1D" w14:textId="77777777" w:rsidR="003E5C55" w:rsidRDefault="003E5C55" w:rsidP="003E5C55">
      <w:pPr>
        <w:spacing w:before="120" w:after="120" w:line="276" w:lineRule="auto"/>
        <w:ind w:firstLine="360"/>
        <w:jc w:val="both"/>
        <w:rPr>
          <w:rFonts w:ascii="Aptos" w:hAnsi="Aptos" w:cs="Calibri"/>
          <w:sz w:val="22"/>
          <w:szCs w:val="22"/>
          <w:lang w:val="en-GB"/>
        </w:rPr>
      </w:pPr>
      <w:proofErr w:type="spellStart"/>
      <w:r w:rsidRPr="003E5C55">
        <w:rPr>
          <w:rFonts w:ascii="Aptos" w:hAnsi="Aptos" w:cs="Calibri"/>
          <w:sz w:val="22"/>
          <w:szCs w:val="22"/>
          <w:lang w:val="en-GB"/>
        </w:rPr>
        <w:t>Europex</w:t>
      </w:r>
      <w:proofErr w:type="spellEnd"/>
      <w:r w:rsidRPr="003E5C55">
        <w:rPr>
          <w:rFonts w:ascii="Aptos" w:hAnsi="Aptos" w:cs="Calibri"/>
          <w:sz w:val="22"/>
          <w:szCs w:val="22"/>
          <w:lang w:val="en-GB"/>
        </w:rPr>
        <w:t xml:space="preserve"> urges ACER to:</w:t>
      </w:r>
    </w:p>
    <w:p w14:paraId="60F9C749" w14:textId="77777777" w:rsidR="00B82BDD" w:rsidRPr="003E5C55" w:rsidRDefault="00B82BDD" w:rsidP="003E5C55">
      <w:pPr>
        <w:spacing w:before="120" w:after="120" w:line="276" w:lineRule="auto"/>
        <w:ind w:firstLine="360"/>
        <w:jc w:val="both"/>
        <w:rPr>
          <w:rFonts w:ascii="Aptos" w:hAnsi="Aptos" w:cs="Calibri"/>
          <w:sz w:val="22"/>
          <w:szCs w:val="22"/>
          <w:lang w:val="en-GB"/>
        </w:rPr>
      </w:pPr>
    </w:p>
    <w:p w14:paraId="79824569" w14:textId="77777777" w:rsidR="003E5C55" w:rsidRDefault="003E5C55" w:rsidP="003E5C55">
      <w:pPr>
        <w:pStyle w:val="ListParagraph"/>
        <w:numPr>
          <w:ilvl w:val="0"/>
          <w:numId w:val="20"/>
        </w:num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Consider whether the interim bid price cap approach from HAR Decision 08/2025 provides sufficient protection during the transition period of seemingly at minimum one year before the indicated improved approach can be put in place</w:t>
      </w:r>
    </w:p>
    <w:p w14:paraId="03F64BBB" w14:textId="77777777" w:rsidR="00B82BDD" w:rsidRPr="003E5C55" w:rsidRDefault="00B82BDD" w:rsidP="00B82BDD">
      <w:pPr>
        <w:pStyle w:val="ListParagraph"/>
        <w:spacing w:before="120" w:after="120" w:line="276" w:lineRule="auto"/>
        <w:jc w:val="both"/>
        <w:rPr>
          <w:rFonts w:ascii="Aptos" w:hAnsi="Aptos" w:cs="Calibri"/>
          <w:sz w:val="22"/>
          <w:szCs w:val="22"/>
          <w:lang w:val="en-GB"/>
        </w:rPr>
      </w:pPr>
    </w:p>
    <w:p w14:paraId="072E339E" w14:textId="05234A4F" w:rsidR="00B82BDD" w:rsidRPr="00B82BDD" w:rsidRDefault="003E5C55" w:rsidP="00B82BDD">
      <w:pPr>
        <w:pStyle w:val="ListParagraph"/>
        <w:numPr>
          <w:ilvl w:val="0"/>
          <w:numId w:val="20"/>
        </w:num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Monitor systematically whether LTFBA auctioning of e.g. LTTR FTRs results in a narrowing of the participant base, less competitive/efficient prices, the geographic and size distribution of its participants, and to report upon these metrics from the first LTFBA auctions onwards. </w:t>
      </w:r>
    </w:p>
    <w:p w14:paraId="29C60BB8" w14:textId="77777777" w:rsidR="00B82BDD" w:rsidRPr="003E5C55" w:rsidRDefault="00B82BDD" w:rsidP="003E5C55">
      <w:pPr>
        <w:pStyle w:val="paragraph"/>
        <w:spacing w:before="0" w:beforeAutospacing="0" w:after="0" w:afterAutospacing="0"/>
        <w:jc w:val="both"/>
        <w:textAlignment w:val="baseline"/>
        <w:rPr>
          <w:rFonts w:ascii="Aptos" w:hAnsi="Aptos" w:cs="Segoe UI"/>
          <w:b/>
          <w:bCs/>
          <w:color w:val="05A785"/>
          <w:lang w:val="en-GB"/>
        </w:rPr>
      </w:pPr>
    </w:p>
    <w:p w14:paraId="780BAE30" w14:textId="32457E69" w:rsidR="003E5C55" w:rsidRPr="003E5C55" w:rsidRDefault="003E5C55" w:rsidP="003E5C55">
      <w:pPr>
        <w:pStyle w:val="paragraph"/>
        <w:spacing w:before="0" w:beforeAutospacing="0" w:after="0" w:afterAutospacing="0"/>
        <w:jc w:val="both"/>
        <w:textAlignment w:val="baseline"/>
        <w:rPr>
          <w:rFonts w:ascii="Aptos" w:hAnsi="Aptos" w:cs="Segoe UI"/>
          <w:b/>
          <w:bCs/>
          <w:color w:val="05A785"/>
          <w:lang w:val="en-GB"/>
        </w:rPr>
      </w:pPr>
      <w:r>
        <w:rPr>
          <w:rFonts w:ascii="Aptos" w:hAnsi="Aptos" w:cs="Segoe UI"/>
          <w:b/>
          <w:bCs/>
          <w:color w:val="05A785"/>
          <w:lang w:val="en-GB"/>
        </w:rPr>
        <w:lastRenderedPageBreak/>
        <w:t xml:space="preserve">3. </w:t>
      </w:r>
      <w:r w:rsidRPr="003E5C55">
        <w:rPr>
          <w:rFonts w:ascii="Aptos" w:hAnsi="Aptos" w:cs="Segoe UI"/>
          <w:b/>
          <w:bCs/>
          <w:color w:val="05A785"/>
          <w:lang w:val="en-GB"/>
        </w:rPr>
        <w:t>C</w:t>
      </w:r>
      <w:r>
        <w:rPr>
          <w:rFonts w:ascii="Aptos" w:hAnsi="Aptos" w:cs="Segoe UI"/>
          <w:b/>
          <w:bCs/>
          <w:color w:val="05A785"/>
          <w:lang w:val="en-GB"/>
        </w:rPr>
        <w:t>hanges related to the new auction tool</w:t>
      </w:r>
    </w:p>
    <w:p w14:paraId="4905C504" w14:textId="77777777" w:rsidR="003E5C55" w:rsidRDefault="003E5C55" w:rsidP="00B82BDD">
      <w:pPr>
        <w:spacing w:before="120" w:after="120" w:line="276" w:lineRule="auto"/>
        <w:jc w:val="both"/>
        <w:rPr>
          <w:rFonts w:ascii="Aptos" w:hAnsi="Aptos" w:cs="Calibri"/>
          <w:sz w:val="22"/>
          <w:szCs w:val="22"/>
          <w:lang w:val="en-GB"/>
        </w:rPr>
      </w:pPr>
      <w:r w:rsidRPr="003E5C55">
        <w:rPr>
          <w:rFonts w:ascii="Aptos" w:hAnsi="Aptos" w:cs="Calibri"/>
          <w:sz w:val="22"/>
          <w:szCs w:val="22"/>
          <w:lang w:val="en-GB"/>
        </w:rPr>
        <w:t xml:space="preserve">Europex supports the proposed amendment to Article 42(2) on REMIT II reporting purposes. As the association representing OMPs, we are fully supportive of the transparency and market integrity objectives underpinning REMIT II. </w:t>
      </w:r>
    </w:p>
    <w:p w14:paraId="43C7AB7B" w14:textId="77777777" w:rsidR="00B82BDD" w:rsidRPr="003E5C55" w:rsidRDefault="00B82BDD" w:rsidP="003E5C55">
      <w:pPr>
        <w:jc w:val="both"/>
        <w:rPr>
          <w:rFonts w:ascii="Aptos" w:hAnsi="Aptos" w:cs="Calibri"/>
          <w:sz w:val="22"/>
          <w:szCs w:val="22"/>
          <w:lang w:val="en-GB"/>
        </w:rPr>
      </w:pPr>
    </w:p>
    <w:p w14:paraId="08B79F48" w14:textId="09636823" w:rsidR="003E5C55" w:rsidRPr="008B4436" w:rsidRDefault="003E5C55" w:rsidP="003E5C55">
      <w:pPr>
        <w:jc w:val="both"/>
        <w:rPr>
          <w:rFonts w:asciiTheme="minorBidi" w:hAnsiTheme="minorBidi"/>
          <w:b/>
          <w:bCs/>
        </w:rPr>
      </w:pPr>
      <w:r w:rsidRPr="003E5C55">
        <w:rPr>
          <w:rFonts w:ascii="Aptos" w:eastAsia="Times New Roman" w:hAnsi="Aptos" w:cs="Segoe UI"/>
          <w:b/>
          <w:bCs/>
          <w:color w:val="05A785"/>
          <w:kern w:val="0"/>
          <w:lang w:val="en-GB" w:eastAsia="en-GB"/>
          <w14:ligatures w14:val="none"/>
        </w:rPr>
        <w:t>4</w:t>
      </w:r>
      <w:r w:rsidRPr="003E5C55">
        <w:rPr>
          <w:rFonts w:ascii="Aptos" w:eastAsia="Times New Roman" w:hAnsi="Aptos" w:cs="Segoe UI"/>
          <w:b/>
          <w:bCs/>
          <w:color w:val="05A785"/>
          <w:kern w:val="0"/>
          <w:lang w:val="en-GB" w:eastAsia="en-GB"/>
          <w14:ligatures w14:val="none"/>
        </w:rPr>
        <w:t xml:space="preserve">. </w:t>
      </w:r>
      <w:r>
        <w:rPr>
          <w:rFonts w:ascii="Aptos" w:eastAsia="Times New Roman" w:hAnsi="Aptos" w:cs="Segoe UI"/>
          <w:b/>
          <w:bCs/>
          <w:color w:val="05A785"/>
          <w:kern w:val="0"/>
          <w:lang w:val="en-GB" w:eastAsia="en-GB"/>
          <w14:ligatures w14:val="none"/>
        </w:rPr>
        <w:t xml:space="preserve">REMIT II Related </w:t>
      </w:r>
      <w:proofErr w:type="spellStart"/>
      <w:r>
        <w:rPr>
          <w:rFonts w:ascii="Aptos" w:eastAsia="Times New Roman" w:hAnsi="Aptos" w:cs="Segoe UI"/>
          <w:b/>
          <w:bCs/>
          <w:color w:val="05A785"/>
          <w:kern w:val="0"/>
          <w:lang w:val="en-GB" w:eastAsia="en-GB"/>
          <w14:ligatures w14:val="none"/>
        </w:rPr>
        <w:t>Amendemnts</w:t>
      </w:r>
      <w:proofErr w:type="spellEnd"/>
    </w:p>
    <w:p w14:paraId="290E6E51" w14:textId="77777777" w:rsidR="003E5C55" w:rsidRDefault="003E5C55" w:rsidP="003E5C55">
      <w:pPr>
        <w:spacing w:before="120" w:after="120" w:line="276" w:lineRule="auto"/>
        <w:jc w:val="both"/>
        <w:rPr>
          <w:rFonts w:ascii="Aptos" w:hAnsi="Aptos" w:cs="Calibri"/>
          <w:sz w:val="22"/>
          <w:szCs w:val="22"/>
          <w:lang w:val="en-GB"/>
        </w:rPr>
      </w:pPr>
      <w:proofErr w:type="spellStart"/>
      <w:r w:rsidRPr="003E5C55">
        <w:rPr>
          <w:rFonts w:ascii="Aptos" w:hAnsi="Aptos" w:cs="Calibri"/>
          <w:sz w:val="22"/>
          <w:szCs w:val="22"/>
          <w:lang w:val="en-GB"/>
        </w:rPr>
        <w:t>Europex</w:t>
      </w:r>
      <w:proofErr w:type="spellEnd"/>
      <w:r w:rsidRPr="003E5C55">
        <w:rPr>
          <w:rFonts w:ascii="Aptos" w:hAnsi="Aptos" w:cs="Calibri"/>
          <w:sz w:val="22"/>
          <w:szCs w:val="22"/>
          <w:lang w:val="en-GB"/>
        </w:rPr>
        <w:t xml:space="preserve"> supports the proposed amendment to Article 42(2) on REMIT II reporting purposes. As the association representing OMPs, we are fully supportive of the transparency and market integrity objectives underpinning REMIT II. </w:t>
      </w:r>
    </w:p>
    <w:p w14:paraId="36A846A3" w14:textId="77777777" w:rsidR="00A626B6" w:rsidRPr="003E5C55" w:rsidRDefault="00A626B6" w:rsidP="003E5C55">
      <w:pPr>
        <w:spacing w:before="120" w:after="120" w:line="276" w:lineRule="auto"/>
        <w:jc w:val="both"/>
        <w:rPr>
          <w:rFonts w:ascii="Aptos" w:hAnsi="Aptos" w:cs="Calibri"/>
          <w:sz w:val="22"/>
          <w:szCs w:val="22"/>
          <w:lang w:val="en-GB"/>
        </w:rPr>
      </w:pPr>
    </w:p>
    <w:p w14:paraId="24BEB77F" w14:textId="43924154" w:rsidR="00B82BDD" w:rsidRPr="00B82BDD" w:rsidRDefault="003E5C55" w:rsidP="00B82BDD">
      <w:pPr>
        <w:jc w:val="both"/>
        <w:rPr>
          <w:rFonts w:ascii="Aptos" w:eastAsia="Times New Roman" w:hAnsi="Aptos" w:cs="Segoe UI"/>
          <w:b/>
          <w:bCs/>
          <w:color w:val="05A785"/>
          <w:kern w:val="0"/>
          <w:lang w:val="en-GB" w:eastAsia="en-GB"/>
          <w14:ligatures w14:val="none"/>
        </w:rPr>
      </w:pPr>
      <w:r w:rsidRPr="00A626B6">
        <w:rPr>
          <w:rFonts w:ascii="Aptos" w:eastAsia="Times New Roman" w:hAnsi="Aptos" w:cs="Segoe UI"/>
          <w:b/>
          <w:bCs/>
          <w:color w:val="05A785"/>
          <w:kern w:val="0"/>
          <w:lang w:val="en-GB" w:eastAsia="en-GB"/>
          <w14:ligatures w14:val="none"/>
        </w:rPr>
        <w:t>5. Other Comments: Broader Observations</w:t>
      </w:r>
    </w:p>
    <w:p w14:paraId="7F24CC01" w14:textId="77777777" w:rsidR="00A626B6" w:rsidRDefault="00A626B6" w:rsidP="00B82BDD">
      <w:pPr>
        <w:spacing w:before="120" w:after="120" w:line="276" w:lineRule="auto"/>
        <w:jc w:val="both"/>
        <w:rPr>
          <w:rFonts w:ascii="Aptos" w:hAnsi="Aptos" w:cs="Calibri"/>
          <w:sz w:val="22"/>
          <w:szCs w:val="22"/>
          <w:lang w:val="en-GB"/>
        </w:rPr>
      </w:pPr>
      <w:r w:rsidRPr="00B82BDD">
        <w:rPr>
          <w:rFonts w:ascii="Aptos" w:hAnsi="Aptos" w:cs="Calibri"/>
          <w:b/>
          <w:bCs/>
          <w:sz w:val="22"/>
          <w:szCs w:val="22"/>
          <w:lang w:val="en-GB"/>
        </w:rPr>
        <w:t>On the role of TSOs</w:t>
      </w:r>
      <w:r w:rsidRPr="00B82BDD">
        <w:rPr>
          <w:rFonts w:ascii="Aptos" w:hAnsi="Aptos" w:cs="Calibri"/>
          <w:sz w:val="22"/>
          <w:szCs w:val="22"/>
          <w:lang w:val="en-GB"/>
        </w:rPr>
        <w:t xml:space="preserve">: The primary auctioning by TSOs of LTTR FTRs and alternative </w:t>
      </w:r>
      <w:proofErr w:type="gramStart"/>
      <w:r w:rsidRPr="00B82BDD">
        <w:rPr>
          <w:rFonts w:ascii="Aptos" w:hAnsi="Aptos" w:cs="Calibri"/>
          <w:sz w:val="22"/>
          <w:szCs w:val="22"/>
          <w:lang w:val="en-GB"/>
        </w:rPr>
        <w:t>market based</w:t>
      </w:r>
      <w:proofErr w:type="gramEnd"/>
      <w:r w:rsidRPr="00B82BDD">
        <w:rPr>
          <w:rFonts w:ascii="Aptos" w:hAnsi="Aptos" w:cs="Calibri"/>
          <w:sz w:val="22"/>
          <w:szCs w:val="22"/>
          <w:lang w:val="en-GB"/>
        </w:rPr>
        <w:t xml:space="preserve"> instruments as given via Article 30.5 in the current FCA GL, is to serve as a support to forward hedging (needs) </w:t>
      </w:r>
      <w:proofErr w:type="gramStart"/>
      <w:r w:rsidRPr="00B82BDD">
        <w:rPr>
          <w:rFonts w:ascii="Aptos" w:hAnsi="Aptos" w:cs="Calibri"/>
          <w:sz w:val="22"/>
          <w:szCs w:val="22"/>
          <w:lang w:val="en-GB"/>
        </w:rPr>
        <w:t>opportunities, and</w:t>
      </w:r>
      <w:proofErr w:type="gramEnd"/>
      <w:r w:rsidRPr="00B82BDD">
        <w:rPr>
          <w:rFonts w:ascii="Aptos" w:hAnsi="Aptos" w:cs="Calibri"/>
          <w:sz w:val="22"/>
          <w:szCs w:val="22"/>
          <w:lang w:val="en-GB"/>
        </w:rPr>
        <w:t xml:space="preserve"> is thus only a complementary role in forward markets. The instruments auctioned by TSOs are used by market participants primarily to supplement, rather than replace, market-based forward hedging products such as Zonal and Regional futures, spread contracts and EPADs. The volumes issued as LTTR FTRs by TSOs are inherently limited, thus even in the unlikely case of TSOs offering equivalent to  100% of NTC such LTTR FTRs would represent only a limited fraction of overall physical electricity supply and demand, and in addition the LTTR FTRs offered are not fully firm, which limits their effectiveness as hedging tools compared to exchange-traded derivatives. To sum up, TSO involvement in forward markets should remain as a fallback option when deemed necessary based on recurring regulatory assessments, and with focus on instruments and mechanisms that grants support to forward hedging needs and opportunities.</w:t>
      </w:r>
    </w:p>
    <w:p w14:paraId="109ABC6A" w14:textId="77777777" w:rsidR="00B82BDD" w:rsidRPr="00B82BDD" w:rsidRDefault="00B82BDD" w:rsidP="00B82BDD">
      <w:pPr>
        <w:spacing w:before="120" w:after="120" w:line="276" w:lineRule="auto"/>
        <w:jc w:val="both"/>
        <w:rPr>
          <w:rFonts w:ascii="Aptos" w:hAnsi="Aptos" w:cs="Calibri"/>
          <w:sz w:val="22"/>
          <w:szCs w:val="22"/>
          <w:lang w:val="en-GB"/>
        </w:rPr>
      </w:pPr>
    </w:p>
    <w:p w14:paraId="41B340D8" w14:textId="77777777" w:rsidR="00A626B6" w:rsidRDefault="00A626B6" w:rsidP="00B82BDD">
      <w:pPr>
        <w:spacing w:before="120" w:after="120" w:line="276" w:lineRule="auto"/>
        <w:jc w:val="both"/>
        <w:rPr>
          <w:rFonts w:ascii="Aptos" w:hAnsi="Aptos" w:cs="Calibri"/>
          <w:sz w:val="22"/>
          <w:szCs w:val="22"/>
          <w:lang w:val="en-GB"/>
        </w:rPr>
      </w:pPr>
      <w:r w:rsidRPr="00B82BDD">
        <w:rPr>
          <w:rFonts w:ascii="Aptos" w:hAnsi="Aptos" w:cs="Calibri"/>
          <w:b/>
          <w:bCs/>
          <w:sz w:val="22"/>
          <w:szCs w:val="22"/>
          <w:lang w:val="en-GB"/>
        </w:rPr>
        <w:t>On the introduction of LTFBA</w:t>
      </w:r>
      <w:r w:rsidRPr="00B82BDD">
        <w:rPr>
          <w:rFonts w:ascii="Aptos" w:hAnsi="Aptos" w:cs="Calibri"/>
          <w:sz w:val="22"/>
          <w:szCs w:val="22"/>
          <w:lang w:val="en-GB"/>
        </w:rPr>
        <w:t>: Under LTFBA, the volume of capacity offered, or rather LTTR FTR volumes “per Border and in total” possible to utilize, is understood to be determined by the long-term flow-based algorithm rather than by each of the TSO's independent assessments of what is appropriate to bring to the market given hedging needs and their own (TSOs) risk appetite. We urge ACER to reflect carefully on this aspect and consequences of it also in the context of the on-going FCA GL Regulation review.</w:t>
      </w:r>
    </w:p>
    <w:p w14:paraId="3B5B84F9" w14:textId="77777777" w:rsidR="00B82BDD" w:rsidRPr="00B82BDD" w:rsidRDefault="00B82BDD" w:rsidP="00B82BDD">
      <w:pPr>
        <w:spacing w:before="120" w:after="120" w:line="276" w:lineRule="auto"/>
        <w:jc w:val="both"/>
        <w:rPr>
          <w:rFonts w:ascii="Aptos" w:hAnsi="Aptos" w:cs="Calibri"/>
          <w:sz w:val="22"/>
          <w:szCs w:val="22"/>
          <w:lang w:val="en-GB"/>
        </w:rPr>
      </w:pPr>
    </w:p>
    <w:p w14:paraId="14CB6953" w14:textId="77777777" w:rsidR="00A626B6" w:rsidRDefault="00A626B6" w:rsidP="00B82BDD">
      <w:pPr>
        <w:spacing w:before="120" w:after="120" w:line="276" w:lineRule="auto"/>
        <w:jc w:val="both"/>
        <w:rPr>
          <w:rFonts w:ascii="Aptos" w:hAnsi="Aptos" w:cs="Calibri"/>
          <w:sz w:val="22"/>
          <w:szCs w:val="22"/>
          <w:lang w:val="en-GB"/>
        </w:rPr>
      </w:pPr>
      <w:r w:rsidRPr="00B82BDD">
        <w:rPr>
          <w:rFonts w:ascii="Aptos" w:hAnsi="Aptos" w:cs="Calibri"/>
          <w:b/>
          <w:bCs/>
          <w:sz w:val="22"/>
          <w:szCs w:val="22"/>
          <w:lang w:val="en-GB"/>
        </w:rPr>
        <w:t>On the nature of LTTRs as financial instruments</w:t>
      </w:r>
      <w:r w:rsidRPr="00B82BDD">
        <w:rPr>
          <w:rFonts w:ascii="Aptos" w:hAnsi="Aptos" w:cs="Calibri"/>
          <w:sz w:val="22"/>
          <w:szCs w:val="22"/>
          <w:lang w:val="en-GB"/>
        </w:rPr>
        <w:t xml:space="preserve">: We note that any evolution of the LTTR framework, including potential changes to product type or structure, should be accompanied by careful assessment of the regulatory implications under MiFID II, EMIR and REMIT. Europex has long argued that Financial Transmission Rights should be subject to equal regulatory treatment under MiFID II, e.g.  that secondary trading in LTTRs should thus be subject to the requirements of EU financial services legislation. We reiterate this position. </w:t>
      </w:r>
    </w:p>
    <w:p w14:paraId="135B1820" w14:textId="77777777" w:rsidR="00B82BDD" w:rsidRPr="00B82BDD" w:rsidRDefault="00B82BDD" w:rsidP="00B82BDD">
      <w:pPr>
        <w:spacing w:before="120" w:after="120" w:line="276" w:lineRule="auto"/>
        <w:jc w:val="both"/>
        <w:rPr>
          <w:rFonts w:ascii="Aptos" w:hAnsi="Aptos" w:cs="Calibri"/>
          <w:sz w:val="22"/>
          <w:szCs w:val="22"/>
          <w:lang w:val="en-GB"/>
        </w:rPr>
      </w:pPr>
    </w:p>
    <w:p w14:paraId="5A945A3C" w14:textId="77777777" w:rsidR="00A626B6" w:rsidRPr="00B82BDD" w:rsidRDefault="00A626B6" w:rsidP="00B82BDD">
      <w:pPr>
        <w:spacing w:before="120" w:after="120" w:line="276" w:lineRule="auto"/>
        <w:jc w:val="both"/>
        <w:rPr>
          <w:rFonts w:ascii="Aptos" w:hAnsi="Aptos" w:cs="Calibri"/>
          <w:sz w:val="22"/>
          <w:szCs w:val="22"/>
          <w:lang w:val="en-GB"/>
        </w:rPr>
      </w:pPr>
      <w:r w:rsidRPr="00B82BDD">
        <w:rPr>
          <w:rFonts w:ascii="Aptos" w:hAnsi="Aptos" w:cs="Calibri"/>
          <w:b/>
          <w:bCs/>
          <w:sz w:val="22"/>
          <w:szCs w:val="22"/>
          <w:lang w:val="en-GB"/>
        </w:rPr>
        <w:t>On the SAP's role</w:t>
      </w:r>
      <w:r w:rsidRPr="00B82BDD">
        <w:rPr>
          <w:rFonts w:ascii="Aptos" w:hAnsi="Aptos" w:cs="Calibri"/>
          <w:sz w:val="22"/>
          <w:szCs w:val="22"/>
          <w:lang w:val="en-GB"/>
        </w:rPr>
        <w:t>: JAO should not have an exclusive monopoly role in the organisation of LTTR auctions or related instruments and services. Any professional entity with experience in organising auctions should be able to provide these services. Any platform organising secondary trading of LTTRs, and/or alternative instruments permissible via e.g. FCA GL 30.5, that have been offered by TSOs in primary auctions, should be subject to the full requirements of EU financial services legislation. In this context, we note that any change of the nature of the LTTR product and how and via what model (e.g. independent ATC based or simultaneous LTFBA based) it is being auctioned could introduce more demanding collateral management with margin requirements that are fundamentally different in nature from the current collateral arrangements (applicable to e.g. LTTR FTR Options). The management of these collateral and settlement risks would benefit from the infrastructure, regulatory authorisation, financial resilience and the operational expertise of a regulated central counterparty (CCP). Thus, any change in nature of LTTRs or alternative instruments primary auctioned by TSOs must be accompanied by an assessment of the institutional arrangements for their issuance and clearing.</w:t>
      </w:r>
    </w:p>
    <w:p w14:paraId="4C19CBBE" w14:textId="77777777" w:rsidR="00960CD0" w:rsidRPr="00B82BDD" w:rsidRDefault="00960CD0" w:rsidP="00DE06DB">
      <w:pPr>
        <w:spacing w:before="120" w:after="120" w:line="276" w:lineRule="auto"/>
        <w:jc w:val="both"/>
        <w:rPr>
          <w:rFonts w:ascii="Aptos" w:hAnsi="Aptos" w:cs="Calibri"/>
          <w:sz w:val="22"/>
          <w:szCs w:val="22"/>
          <w:lang w:val="en-GB"/>
        </w:rPr>
      </w:pPr>
    </w:p>
    <w:p w14:paraId="44A3B637" w14:textId="77777777" w:rsidR="0022458B" w:rsidRDefault="0022458B" w:rsidP="00FD49B1">
      <w:pPr>
        <w:jc w:val="both"/>
        <w:rPr>
          <w:rFonts w:ascii="Aptos" w:hAnsi="Aptos" w:cs="Calibri"/>
          <w:sz w:val="22"/>
          <w:szCs w:val="22"/>
          <w:lang w:val="en-GB"/>
        </w:rPr>
      </w:pPr>
    </w:p>
    <w:p w14:paraId="4590F505" w14:textId="77777777" w:rsidR="00B82BDD" w:rsidRDefault="00B82BDD" w:rsidP="00FD49B1">
      <w:pPr>
        <w:jc w:val="both"/>
        <w:rPr>
          <w:rFonts w:ascii="Aptos" w:hAnsi="Aptos" w:cs="Calibri"/>
          <w:sz w:val="22"/>
          <w:szCs w:val="22"/>
          <w:lang w:val="en-GB"/>
        </w:rPr>
      </w:pPr>
    </w:p>
    <w:p w14:paraId="61A93A45" w14:textId="77777777" w:rsidR="00B82BDD" w:rsidRDefault="00B82BDD" w:rsidP="00FD49B1">
      <w:pPr>
        <w:jc w:val="both"/>
        <w:rPr>
          <w:rFonts w:ascii="Aptos" w:hAnsi="Aptos" w:cs="Calibri"/>
          <w:sz w:val="22"/>
          <w:szCs w:val="22"/>
          <w:lang w:val="en-GB"/>
        </w:rPr>
      </w:pPr>
    </w:p>
    <w:p w14:paraId="4CD051E0" w14:textId="77777777" w:rsidR="00B82BDD" w:rsidRDefault="00B82BDD" w:rsidP="00FD49B1">
      <w:pPr>
        <w:jc w:val="both"/>
        <w:rPr>
          <w:rFonts w:ascii="Aptos" w:hAnsi="Aptos" w:cs="Calibri"/>
          <w:sz w:val="22"/>
          <w:szCs w:val="22"/>
          <w:lang w:val="en-GB"/>
        </w:rPr>
      </w:pPr>
    </w:p>
    <w:p w14:paraId="09D2B8F5" w14:textId="77777777" w:rsidR="00B82BDD" w:rsidRDefault="00B82BDD" w:rsidP="00FD49B1">
      <w:pPr>
        <w:jc w:val="both"/>
        <w:rPr>
          <w:rFonts w:ascii="Aptos" w:hAnsi="Aptos"/>
          <w:b/>
          <w:color w:val="05A785"/>
          <w:lang w:val="en-GB"/>
        </w:rPr>
      </w:pPr>
    </w:p>
    <w:p w14:paraId="1EDFAE32" w14:textId="77777777" w:rsidR="0022458B" w:rsidRDefault="0022458B" w:rsidP="00FD49B1">
      <w:pPr>
        <w:jc w:val="both"/>
        <w:rPr>
          <w:rFonts w:ascii="Aptos" w:hAnsi="Aptos"/>
          <w:b/>
          <w:color w:val="05A785"/>
          <w:lang w:val="en-GB"/>
        </w:rPr>
      </w:pPr>
    </w:p>
    <w:p w14:paraId="27B683A2" w14:textId="77777777" w:rsidR="0022458B" w:rsidRDefault="0022458B" w:rsidP="00FD49B1">
      <w:pPr>
        <w:jc w:val="both"/>
        <w:rPr>
          <w:rFonts w:ascii="Aptos" w:hAnsi="Aptos"/>
          <w:b/>
          <w:color w:val="05A785"/>
          <w:lang w:val="en-GB"/>
        </w:rPr>
      </w:pPr>
    </w:p>
    <w:p w14:paraId="23FD77C2" w14:textId="77777777" w:rsidR="0022458B" w:rsidRDefault="0022458B" w:rsidP="00FD49B1">
      <w:pPr>
        <w:jc w:val="both"/>
        <w:rPr>
          <w:rFonts w:ascii="Aptos" w:hAnsi="Aptos"/>
          <w:b/>
          <w:color w:val="05A785"/>
          <w:lang w:val="en-GB"/>
        </w:rPr>
      </w:pPr>
    </w:p>
    <w:p w14:paraId="5E02828E" w14:textId="77777777" w:rsidR="0022458B" w:rsidRDefault="0022458B" w:rsidP="00FD49B1">
      <w:pPr>
        <w:jc w:val="both"/>
        <w:rPr>
          <w:rFonts w:ascii="Aptos" w:hAnsi="Aptos"/>
          <w:b/>
          <w:color w:val="05A785"/>
          <w:lang w:val="en-GB"/>
        </w:rPr>
      </w:pPr>
    </w:p>
    <w:p w14:paraId="1FB0A134" w14:textId="4DE825E4" w:rsidR="00FD49B1" w:rsidRPr="00327F6D" w:rsidRDefault="00FD49B1" w:rsidP="00FD49B1">
      <w:pPr>
        <w:jc w:val="both"/>
        <w:rPr>
          <w:rFonts w:ascii="Aptos" w:hAnsi="Aptos"/>
          <w:b/>
          <w:color w:val="05A785"/>
          <w:lang w:val="en-GB"/>
        </w:rPr>
      </w:pPr>
      <w:r w:rsidRPr="00327F6D">
        <w:rPr>
          <w:rFonts w:ascii="Aptos" w:hAnsi="Aptos"/>
          <w:b/>
          <w:color w:val="05A785"/>
          <w:lang w:val="en-GB"/>
        </w:rPr>
        <w:t>About</w:t>
      </w:r>
    </w:p>
    <w:p w14:paraId="5625010F" w14:textId="5B6E8420" w:rsidR="00FD49B1" w:rsidRPr="000B4858" w:rsidRDefault="00FD49B1" w:rsidP="00FD49B1">
      <w:pPr>
        <w:jc w:val="both"/>
        <w:rPr>
          <w:rFonts w:ascii="Aptos" w:hAnsi="Aptos"/>
          <w:lang w:val="en-GB"/>
        </w:rPr>
      </w:pPr>
      <w:r w:rsidRPr="000B4858">
        <w:rPr>
          <w:rFonts w:ascii="Aptos" w:hAnsi="Aptos"/>
          <w:lang w:val="en-GB"/>
        </w:rPr>
        <w:t>Europex is a not-for-profit associa</w:t>
      </w:r>
      <w:r w:rsidR="00DC4B33" w:rsidRPr="000B4858">
        <w:rPr>
          <w:rFonts w:ascii="Aptos" w:hAnsi="Aptos"/>
          <w:lang w:val="en-GB"/>
        </w:rPr>
        <w:t>ti</w:t>
      </w:r>
      <w:r w:rsidRPr="000B4858">
        <w:rPr>
          <w:rFonts w:ascii="Aptos" w:hAnsi="Aptos"/>
          <w:lang w:val="en-GB"/>
        </w:rPr>
        <w:t>on of European energy exchanges with 3</w:t>
      </w:r>
      <w:r w:rsidR="00930619" w:rsidRPr="000B4858">
        <w:rPr>
          <w:rFonts w:ascii="Aptos" w:hAnsi="Aptos"/>
          <w:lang w:val="en-GB"/>
        </w:rPr>
        <w:t>6</w:t>
      </w:r>
      <w:r w:rsidRPr="000B4858">
        <w:rPr>
          <w:rFonts w:ascii="Aptos" w:hAnsi="Aptos"/>
          <w:lang w:val="en-GB"/>
        </w:rPr>
        <w:t xml:space="preserve"> members. It represents the interests of exchange-based wholesale electricity, gas and environmental markets, focuses on developments of the European regulatory framework for wholesale energy trading and provides a discussion pla</w:t>
      </w:r>
      <w:r w:rsidR="002E71AD" w:rsidRPr="000B4858">
        <w:rPr>
          <w:rFonts w:ascii="Aptos" w:hAnsi="Aptos"/>
          <w:lang w:val="en-GB"/>
        </w:rPr>
        <w:t>tf</w:t>
      </w:r>
      <w:r w:rsidRPr="000B4858">
        <w:rPr>
          <w:rFonts w:ascii="Aptos" w:hAnsi="Aptos"/>
          <w:lang w:val="en-GB"/>
        </w:rPr>
        <w:t xml:space="preserve">orm at European level. </w:t>
      </w:r>
    </w:p>
    <w:p w14:paraId="64A68CFD" w14:textId="77777777" w:rsidR="00FD49B1" w:rsidRPr="000B4858" w:rsidRDefault="00FD49B1" w:rsidP="00FD49B1">
      <w:pPr>
        <w:jc w:val="both"/>
        <w:rPr>
          <w:rFonts w:ascii="Aptos" w:hAnsi="Aptos"/>
          <w:lang w:val="en-GB"/>
        </w:rPr>
      </w:pPr>
    </w:p>
    <w:p w14:paraId="647BBF5E" w14:textId="77777777" w:rsidR="00FD49B1" w:rsidRPr="000B4858" w:rsidRDefault="00FD49B1" w:rsidP="00FD49B1">
      <w:pPr>
        <w:jc w:val="both"/>
        <w:rPr>
          <w:rFonts w:ascii="Aptos" w:hAnsi="Aptos"/>
          <w:b/>
          <w:color w:val="05A785"/>
          <w:lang w:val="en-GB"/>
        </w:rPr>
      </w:pPr>
      <w:r w:rsidRPr="000B4858">
        <w:rPr>
          <w:rFonts w:ascii="Aptos" w:hAnsi="Aptos"/>
          <w:b/>
          <w:color w:val="05A785"/>
          <w:lang w:val="en-GB"/>
        </w:rPr>
        <w:t>Contact</w:t>
      </w:r>
    </w:p>
    <w:p w14:paraId="7A6963D8" w14:textId="101A45F5" w:rsidR="00FD49B1" w:rsidRPr="000B4858" w:rsidRDefault="00FD49B1" w:rsidP="00FD49B1">
      <w:pPr>
        <w:jc w:val="both"/>
        <w:rPr>
          <w:rFonts w:ascii="Aptos" w:hAnsi="Aptos"/>
          <w:lang w:val="en-GB"/>
        </w:rPr>
      </w:pPr>
      <w:r w:rsidRPr="000B4858">
        <w:rPr>
          <w:rFonts w:ascii="Aptos" w:hAnsi="Aptos"/>
          <w:lang w:val="en-GB"/>
        </w:rPr>
        <w:t xml:space="preserve">Europex </w:t>
      </w:r>
      <w:r w:rsidR="00327F6D">
        <w:rPr>
          <w:rFonts w:ascii="Aptos" w:hAnsi="Aptos"/>
          <w:lang w:val="en-GB"/>
        </w:rPr>
        <w:t>-</w:t>
      </w:r>
      <w:r w:rsidRPr="000B4858">
        <w:rPr>
          <w:rFonts w:ascii="Aptos" w:hAnsi="Aptos"/>
          <w:lang w:val="en-GB"/>
        </w:rPr>
        <w:t xml:space="preserve"> Association of European Energy Exchanges </w:t>
      </w:r>
    </w:p>
    <w:p w14:paraId="3828487C" w14:textId="77777777" w:rsidR="00FD49B1" w:rsidRPr="000B4858" w:rsidRDefault="00FD49B1" w:rsidP="00FD49B1">
      <w:pPr>
        <w:jc w:val="both"/>
        <w:rPr>
          <w:rFonts w:ascii="Aptos" w:hAnsi="Aptos"/>
          <w:lang w:val="en-GB"/>
        </w:rPr>
      </w:pPr>
      <w:r w:rsidRPr="000B4858">
        <w:rPr>
          <w:rFonts w:ascii="Aptos" w:hAnsi="Aptos"/>
          <w:lang w:val="en-GB"/>
        </w:rPr>
        <w:t xml:space="preserve">Address: Rue Archimède 44, 1000 Brussels, Belgium </w:t>
      </w:r>
    </w:p>
    <w:p w14:paraId="7C718FFD" w14:textId="5AFA6FA4" w:rsidR="00FD49B1" w:rsidRPr="000B4858" w:rsidRDefault="00FD49B1" w:rsidP="00FD49B1">
      <w:pPr>
        <w:jc w:val="both"/>
        <w:rPr>
          <w:rFonts w:ascii="Aptos" w:hAnsi="Aptos"/>
          <w:lang w:val="en-GB"/>
        </w:rPr>
      </w:pPr>
      <w:r w:rsidRPr="000B4858">
        <w:rPr>
          <w:rFonts w:ascii="Aptos" w:hAnsi="Aptos"/>
          <w:lang w:val="en-GB"/>
        </w:rPr>
        <w:t>Phone: +32 2 512 34 10</w:t>
      </w:r>
    </w:p>
    <w:p w14:paraId="2BADE009" w14:textId="5499C3CA" w:rsidR="00FD49B1" w:rsidRPr="000B4858" w:rsidRDefault="00FD49B1" w:rsidP="00FD49B1">
      <w:pPr>
        <w:jc w:val="both"/>
        <w:rPr>
          <w:rFonts w:ascii="Aptos" w:hAnsi="Aptos"/>
          <w:lang w:val="en-GB"/>
        </w:rPr>
      </w:pPr>
      <w:r w:rsidRPr="000B4858">
        <w:rPr>
          <w:rFonts w:ascii="Aptos" w:hAnsi="Aptos"/>
          <w:lang w:val="en-GB"/>
        </w:rPr>
        <w:t xml:space="preserve">Website: </w:t>
      </w:r>
      <w:hyperlink r:id="rId11" w:history="1">
        <w:r w:rsidRPr="000B4858">
          <w:rPr>
            <w:rStyle w:val="Hyperlink"/>
            <w:rFonts w:ascii="Aptos" w:hAnsi="Aptos"/>
            <w:lang w:val="en-GB"/>
          </w:rPr>
          <w:t>www.europex.org</w:t>
        </w:r>
      </w:hyperlink>
    </w:p>
    <w:p w14:paraId="48788E2A" w14:textId="4ED13CF7" w:rsidR="00FD49B1" w:rsidRPr="000B4858" w:rsidRDefault="00FD49B1" w:rsidP="00FD49B1">
      <w:pPr>
        <w:jc w:val="both"/>
        <w:rPr>
          <w:rFonts w:ascii="Aptos" w:hAnsi="Aptos"/>
          <w:lang w:val="en-GB"/>
        </w:rPr>
      </w:pPr>
      <w:r w:rsidRPr="000B4858">
        <w:rPr>
          <w:rFonts w:ascii="Aptos" w:hAnsi="Aptos"/>
          <w:lang w:val="en-GB"/>
        </w:rPr>
        <w:t xml:space="preserve">Email: </w:t>
      </w:r>
      <w:hyperlink r:id="rId12" w:history="1">
        <w:r w:rsidRPr="000B4858">
          <w:rPr>
            <w:rStyle w:val="Hyperlink"/>
            <w:rFonts w:ascii="Aptos" w:hAnsi="Aptos"/>
            <w:lang w:val="en-GB"/>
          </w:rPr>
          <w:t>secretariat@europex.org</w:t>
        </w:r>
      </w:hyperlink>
    </w:p>
    <w:p w14:paraId="53F2B361" w14:textId="29F8F4BA" w:rsidR="00FD49B1" w:rsidRPr="000B4858" w:rsidRDefault="00FD49B1" w:rsidP="00FD49B1">
      <w:pPr>
        <w:jc w:val="both"/>
        <w:rPr>
          <w:rFonts w:ascii="Aptos" w:hAnsi="Aptos"/>
          <w:lang w:val="en-GB"/>
        </w:rPr>
      </w:pPr>
      <w:r w:rsidRPr="000B4858">
        <w:rPr>
          <w:rFonts w:ascii="Aptos" w:hAnsi="Aptos"/>
          <w:lang w:val="en-GB"/>
        </w:rPr>
        <w:t>X: @Europex_energy</w:t>
      </w:r>
    </w:p>
    <w:p w14:paraId="20D86D14" w14:textId="77777777" w:rsidR="00FD49B1" w:rsidRPr="000B4858" w:rsidRDefault="00FD49B1" w:rsidP="00FD49B1">
      <w:pPr>
        <w:jc w:val="both"/>
        <w:rPr>
          <w:rFonts w:ascii="Aptos" w:hAnsi="Aptos"/>
          <w:lang w:val="en-GB"/>
        </w:rPr>
      </w:pPr>
    </w:p>
    <w:p w14:paraId="643754F4" w14:textId="39C30BDA" w:rsidR="00EF0171" w:rsidRPr="000B4858" w:rsidRDefault="00FD49B1" w:rsidP="005A2E8E">
      <w:pPr>
        <w:jc w:val="both"/>
        <w:rPr>
          <w:rFonts w:ascii="Aptos" w:hAnsi="Aptos" w:cs="Poppins"/>
          <w:color w:val="000000" w:themeColor="text1"/>
          <w:lang w:val="en-GB"/>
        </w:rPr>
      </w:pPr>
      <w:r w:rsidRPr="000B4858">
        <w:rPr>
          <w:rFonts w:ascii="Aptos" w:hAnsi="Aptos"/>
          <w:b/>
          <w:color w:val="05A785"/>
          <w:lang w:val="en-GB"/>
        </w:rPr>
        <w:t>EU Transparency Register:</w:t>
      </w:r>
      <w:r w:rsidRPr="000B4858">
        <w:rPr>
          <w:rFonts w:ascii="Aptos" w:hAnsi="Aptos"/>
          <w:color w:val="05A785"/>
          <w:lang w:val="en-GB"/>
        </w:rPr>
        <w:t xml:space="preserve"> </w:t>
      </w:r>
      <w:r w:rsidRPr="000B4858">
        <w:rPr>
          <w:rFonts w:ascii="Aptos" w:hAnsi="Aptos"/>
          <w:lang w:val="en-GB"/>
        </w:rPr>
        <w:t>50679663522-75</w:t>
      </w:r>
    </w:p>
    <w:sectPr w:rsidR="00EF0171" w:rsidRPr="000B4858" w:rsidSect="00DE06DB">
      <w:headerReference w:type="default" r:id="rId13"/>
      <w:footerReference w:type="even" r:id="rId14"/>
      <w:footerReference w:type="default" r:id="rId15"/>
      <w:pgSz w:w="11906" w:h="16838"/>
      <w:pgMar w:top="1440" w:right="1440" w:bottom="1440" w:left="1440" w:header="62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CD7D" w14:textId="77777777" w:rsidR="003B511C" w:rsidRDefault="003B511C" w:rsidP="006D0384">
      <w:r>
        <w:separator/>
      </w:r>
    </w:p>
  </w:endnote>
  <w:endnote w:type="continuationSeparator" w:id="0">
    <w:p w14:paraId="17051431" w14:textId="77777777" w:rsidR="003B511C" w:rsidRDefault="003B511C" w:rsidP="006D0384">
      <w:r>
        <w:continuationSeparator/>
      </w:r>
    </w:p>
  </w:endnote>
  <w:endnote w:type="continuationNotice" w:id="1">
    <w:p w14:paraId="2A2C83AE" w14:textId="77777777" w:rsidR="003B511C" w:rsidRDefault="003B5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Montserrat">
    <w:panose1 w:val="00000500000000000000"/>
    <w:charset w:val="4D"/>
    <w:family w:val="auto"/>
    <w:pitch w:val="variable"/>
    <w:sig w:usb0="2000020F" w:usb1="00000003" w:usb2="00000000" w:usb3="00000000" w:csb0="00000197" w:csb1="00000000"/>
  </w:font>
  <w:font w:name="Poppins">
    <w:panose1 w:val="00000500000000000000"/>
    <w:charset w:val="4D"/>
    <w:family w:val="auto"/>
    <w:pitch w:val="variable"/>
    <w:sig w:usb0="00008007" w:usb1="00000000" w:usb2="00000000" w:usb3="00000000" w:csb0="00000093" w:csb1="00000000"/>
  </w:font>
  <w:font w:name="Segoe UI">
    <w:panose1 w:val="020B0502040204020203"/>
    <w:charset w:val="00"/>
    <w:family w:val="swiss"/>
    <w:pitch w:val="variable"/>
    <w:sig w:usb0="E5002EFF" w:usb1="C000E47F" w:usb2="0000002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3459181"/>
      <w:docPartObj>
        <w:docPartGallery w:val="Page Numbers (Bottom of Page)"/>
        <w:docPartUnique/>
      </w:docPartObj>
    </w:sdtPr>
    <w:sdtContent>
      <w:p w14:paraId="77F4D7F4" w14:textId="31B75887" w:rsidR="001410E2" w:rsidRDefault="001410E2" w:rsidP="00FA2E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D3EB40" w14:textId="77777777" w:rsidR="001410E2" w:rsidRDefault="00141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294026065"/>
      <w:docPartObj>
        <w:docPartGallery w:val="Page Numbers (Bottom of Page)"/>
        <w:docPartUnique/>
      </w:docPartObj>
    </w:sdtPr>
    <w:sdtContent>
      <w:p w14:paraId="2FB13FAE" w14:textId="49079277" w:rsidR="001410E2" w:rsidRPr="006D43C7" w:rsidRDefault="001410E2" w:rsidP="00EF0171">
        <w:pPr>
          <w:pStyle w:val="Footer"/>
          <w:framePr w:wrap="none" w:vAnchor="text" w:hAnchor="page" w:x="5874" w:y="324"/>
          <w:rPr>
            <w:rStyle w:val="PageNumber"/>
            <w:sz w:val="22"/>
            <w:szCs w:val="22"/>
          </w:rPr>
        </w:pPr>
        <w:r w:rsidRPr="006D43C7">
          <w:rPr>
            <w:rStyle w:val="PageNumber"/>
            <w:sz w:val="22"/>
            <w:szCs w:val="22"/>
          </w:rPr>
          <w:fldChar w:fldCharType="begin"/>
        </w:r>
        <w:r w:rsidRPr="006D43C7">
          <w:rPr>
            <w:rStyle w:val="PageNumber"/>
            <w:sz w:val="22"/>
            <w:szCs w:val="22"/>
          </w:rPr>
          <w:instrText xml:space="preserve"> PAGE </w:instrText>
        </w:r>
        <w:r w:rsidRPr="006D43C7">
          <w:rPr>
            <w:rStyle w:val="PageNumber"/>
            <w:sz w:val="22"/>
            <w:szCs w:val="22"/>
          </w:rPr>
          <w:fldChar w:fldCharType="separate"/>
        </w:r>
        <w:r w:rsidRPr="006D43C7">
          <w:rPr>
            <w:rStyle w:val="PageNumber"/>
            <w:noProof/>
            <w:sz w:val="22"/>
            <w:szCs w:val="22"/>
          </w:rPr>
          <w:t>2</w:t>
        </w:r>
        <w:r w:rsidRPr="006D43C7">
          <w:rPr>
            <w:rStyle w:val="PageNumber"/>
            <w:sz w:val="22"/>
            <w:szCs w:val="22"/>
          </w:rPr>
          <w:fldChar w:fldCharType="end"/>
        </w:r>
      </w:p>
    </w:sdtContent>
  </w:sdt>
  <w:p w14:paraId="25318265" w14:textId="7764103D" w:rsidR="00063996" w:rsidRDefault="00063996">
    <w:pPr>
      <w:pStyle w:val="Footer"/>
    </w:pPr>
    <w:r>
      <w:rPr>
        <w:noProof/>
      </w:rPr>
      <w:drawing>
        <wp:anchor distT="0" distB="0" distL="114300" distR="114300" simplePos="0" relativeHeight="251658240" behindDoc="1" locked="0" layoutInCell="1" allowOverlap="1" wp14:anchorId="385FB011" wp14:editId="1C7272FB">
          <wp:simplePos x="0" y="0"/>
          <wp:positionH relativeFrom="column">
            <wp:posOffset>-763053</wp:posOffset>
          </wp:positionH>
          <wp:positionV relativeFrom="paragraph">
            <wp:posOffset>-164515</wp:posOffset>
          </wp:positionV>
          <wp:extent cx="7281017" cy="332093"/>
          <wp:effectExtent l="0" t="0" r="0" b="0"/>
          <wp:wrapNone/>
          <wp:docPr id="198401426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14261"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90772" b="5301"/>
                  <a:stretch/>
                </pic:blipFill>
                <pic:spPr bwMode="auto">
                  <a:xfrm>
                    <a:off x="0" y="0"/>
                    <a:ext cx="7281017" cy="3320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CC27" w14:textId="77777777" w:rsidR="003B511C" w:rsidRDefault="003B511C" w:rsidP="006D0384">
      <w:r>
        <w:separator/>
      </w:r>
    </w:p>
  </w:footnote>
  <w:footnote w:type="continuationSeparator" w:id="0">
    <w:p w14:paraId="33CEEB2A" w14:textId="77777777" w:rsidR="003B511C" w:rsidRDefault="003B511C" w:rsidP="006D0384">
      <w:r>
        <w:continuationSeparator/>
      </w:r>
    </w:p>
  </w:footnote>
  <w:footnote w:type="continuationNotice" w:id="1">
    <w:p w14:paraId="0B39CA22" w14:textId="77777777" w:rsidR="003B511C" w:rsidRDefault="003B51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689B" w14:textId="4494A9C1" w:rsidR="00063996" w:rsidRDefault="00DF528E">
    <w:pPr>
      <w:pStyle w:val="Header"/>
      <w:rPr>
        <w:rFonts w:ascii="Montserrat" w:hAnsi="Montserrat"/>
        <w:b/>
        <w:bCs/>
        <w:color w:val="002060"/>
        <w:sz w:val="36"/>
        <w:szCs w:val="36"/>
        <w:lang w:val="nl-NL"/>
      </w:rPr>
    </w:pPr>
    <w:r w:rsidRPr="00063996">
      <w:rPr>
        <w:rFonts w:ascii="Montserrat" w:hAnsi="Montserrat"/>
        <w:b/>
        <w:bCs/>
        <w:noProof/>
        <w:color w:val="002060"/>
        <w:sz w:val="36"/>
        <w:szCs w:val="36"/>
      </w:rPr>
      <w:drawing>
        <wp:anchor distT="0" distB="0" distL="114300" distR="114300" simplePos="0" relativeHeight="251658241" behindDoc="1" locked="0" layoutInCell="1" allowOverlap="1" wp14:anchorId="75CD2F63" wp14:editId="4359D660">
          <wp:simplePos x="0" y="0"/>
          <wp:positionH relativeFrom="column">
            <wp:posOffset>3570799</wp:posOffset>
          </wp:positionH>
          <wp:positionV relativeFrom="paragraph">
            <wp:posOffset>153035</wp:posOffset>
          </wp:positionV>
          <wp:extent cx="2394470" cy="499256"/>
          <wp:effectExtent l="0" t="0" r="0" b="0"/>
          <wp:wrapNone/>
          <wp:docPr id="871817464"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17464" name="Picture 2" descr="A close up of a logo&#10;&#10;Description automatically generated"/>
                  <pic:cNvPicPr/>
                </pic:nvPicPr>
                <pic:blipFill rotWithShape="1">
                  <a:blip r:embed="rId1">
                    <a:extLst>
                      <a:ext uri="{28A0092B-C50C-407E-A947-70E740481C1C}">
                        <a14:useLocalDpi xmlns:a14="http://schemas.microsoft.com/office/drawing/2010/main" val="0"/>
                      </a:ext>
                    </a:extLst>
                  </a:blip>
                  <a:srcRect t="19937" b="25844"/>
                  <a:stretch/>
                </pic:blipFill>
                <pic:spPr bwMode="auto">
                  <a:xfrm>
                    <a:off x="0" y="0"/>
                    <a:ext cx="2394470" cy="499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B0A1D1" w14:textId="5399A82A" w:rsidR="001410E2" w:rsidRPr="001410E2" w:rsidRDefault="007B5B94">
    <w:pPr>
      <w:pStyle w:val="Header"/>
      <w:rPr>
        <w:rFonts w:ascii="Montserrat" w:hAnsi="Montserrat"/>
        <w:b/>
        <w:bCs/>
        <w:color w:val="002060"/>
        <w:sz w:val="36"/>
        <w:szCs w:val="36"/>
        <w:lang w:val="nl-NL"/>
      </w:rPr>
    </w:pPr>
    <w:r>
      <w:rPr>
        <w:rFonts w:ascii="Montserrat" w:hAnsi="Montserrat"/>
        <w:b/>
        <w:bCs/>
        <w:color w:val="002060"/>
        <w:sz w:val="36"/>
        <w:szCs w:val="36"/>
        <w:lang w:val="en-GB"/>
      </w:rPr>
      <w:t>Position Paper</w:t>
    </w:r>
  </w:p>
  <w:p w14:paraId="5452F242" w14:textId="0D231A60" w:rsidR="00063996" w:rsidRDefault="00063996"/>
  <w:p w14:paraId="5C834216" w14:textId="77777777" w:rsidR="001F5C2B" w:rsidRDefault="001F5C2B"/>
  <w:p w14:paraId="72D495EE" w14:textId="77777777" w:rsidR="007E7730" w:rsidRDefault="007E77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EF3"/>
    <w:multiLevelType w:val="hybridMultilevel"/>
    <w:tmpl w:val="D49C01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836D30"/>
    <w:multiLevelType w:val="multilevel"/>
    <w:tmpl w:val="CA104546"/>
    <w:lvl w:ilvl="0">
      <w:start w:val="1"/>
      <w:numFmt w:val="decimal"/>
      <w:lvlText w:val="%1."/>
      <w:lvlJc w:val="left"/>
      <w:pPr>
        <w:ind w:left="360" w:hanging="360"/>
      </w:pPr>
    </w:lvl>
    <w:lvl w:ilvl="1">
      <w:start w:val="1"/>
      <w:numFmt w:val="decimal"/>
      <w:lvlText w:val="%1.%2."/>
      <w:lvlJc w:val="left"/>
      <w:pPr>
        <w:ind w:left="792" w:hanging="432"/>
      </w:pPr>
      <w:rPr>
        <w:lang w:val="en-G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C22776"/>
    <w:multiLevelType w:val="hybridMultilevel"/>
    <w:tmpl w:val="229881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657A71"/>
    <w:multiLevelType w:val="hybridMultilevel"/>
    <w:tmpl w:val="BA549B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254B0"/>
    <w:multiLevelType w:val="hybridMultilevel"/>
    <w:tmpl w:val="AA620394"/>
    <w:lvl w:ilvl="0" w:tplc="85220356">
      <w:start w:val="1"/>
      <w:numFmt w:val="lowerLetter"/>
      <w:lvlText w:val="%1)"/>
      <w:lvlJc w:val="left"/>
      <w:pPr>
        <w:ind w:left="360" w:hanging="360"/>
      </w:pPr>
      <w:rPr>
        <w:rFonts w:hint="default"/>
        <w:b/>
        <w:bCs/>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2A5146"/>
    <w:multiLevelType w:val="hybridMultilevel"/>
    <w:tmpl w:val="66CC2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B734C"/>
    <w:multiLevelType w:val="hybridMultilevel"/>
    <w:tmpl w:val="598A84E8"/>
    <w:lvl w:ilvl="0" w:tplc="2AA0904C">
      <w:start w:val="1"/>
      <w:numFmt w:val="decimal"/>
      <w:lvlText w:val="%1."/>
      <w:lvlJc w:val="left"/>
      <w:pPr>
        <w:ind w:left="720" w:hanging="360"/>
      </w:pPr>
      <w:rPr>
        <w:color w:val="FFC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3B2266"/>
    <w:multiLevelType w:val="multilevel"/>
    <w:tmpl w:val="2298810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0594E61"/>
    <w:multiLevelType w:val="multilevel"/>
    <w:tmpl w:val="694CEAC0"/>
    <w:lvl w:ilvl="0">
      <w:start w:val="1"/>
      <w:numFmt w:val="decimal"/>
      <w:lvlText w:val="%1."/>
      <w:lvlJc w:val="left"/>
      <w:pPr>
        <w:ind w:left="360" w:hanging="360"/>
      </w:pPr>
      <w:rPr>
        <w:color w:val="FFC000"/>
      </w:rPr>
    </w:lvl>
    <w:lvl w:ilvl="1">
      <w:start w:val="1"/>
      <w:numFmt w:val="decimal"/>
      <w:lvlText w:val="%1.%2."/>
      <w:lvlJc w:val="left"/>
      <w:pPr>
        <w:ind w:left="792" w:hanging="432"/>
      </w:pPr>
      <w:rPr>
        <w:color w:val="FFC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B37B24"/>
    <w:multiLevelType w:val="hybridMultilevel"/>
    <w:tmpl w:val="904EABA2"/>
    <w:lvl w:ilvl="0" w:tplc="2FC2735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1562FB"/>
    <w:multiLevelType w:val="multilevel"/>
    <w:tmpl w:val="E22C4AFC"/>
    <w:lvl w:ilvl="0">
      <w:start w:val="1"/>
      <w:numFmt w:val="bullet"/>
      <w:pStyle w:val="ParaBullet"/>
      <w:lvlText w:val="■"/>
      <w:lvlJc w:val="left"/>
      <w:pPr>
        <w:ind w:left="425" w:hanging="425"/>
      </w:pPr>
      <w:rPr>
        <w:rFonts w:ascii="Arial" w:hAnsi="Arial" w:hint="default"/>
        <w:color w:val="4472C4" w:themeColor="accent1"/>
        <w:sz w:val="22"/>
        <w:szCs w:val="24"/>
      </w:rPr>
    </w:lvl>
    <w:lvl w:ilvl="1">
      <w:start w:val="1"/>
      <w:numFmt w:val="bullet"/>
      <w:pStyle w:val="ParaBulletIndent"/>
      <w:lvlText w:val="□"/>
      <w:lvlJc w:val="left"/>
      <w:pPr>
        <w:ind w:left="850" w:hanging="425"/>
      </w:pPr>
      <w:rPr>
        <w:rFonts w:ascii="Arial" w:hAnsi="Arial" w:hint="default"/>
        <w:color w:val="000000" w:themeColor="text1"/>
        <w:sz w:val="22"/>
        <w:szCs w:val="22"/>
      </w:rPr>
    </w:lvl>
    <w:lvl w:ilvl="2">
      <w:start w:val="1"/>
      <w:numFmt w:val="bullet"/>
      <w:pStyle w:val="ParaBulletIndent2"/>
      <w:lvlText w:val="–"/>
      <w:lvlJc w:val="left"/>
      <w:pPr>
        <w:ind w:left="1275" w:hanging="425"/>
      </w:pPr>
      <w:rPr>
        <w:rFonts w:ascii="Arial" w:hAnsi="Arial" w:hint="default"/>
        <w:color w:val="000000" w:themeColor="text1"/>
        <w:sz w:val="22"/>
        <w:szCs w:val="16"/>
      </w:rPr>
    </w:lvl>
    <w:lvl w:ilvl="3">
      <w:start w:val="1"/>
      <w:numFmt w:val="bullet"/>
      <w:pStyle w:val="ParaBulletIndent3"/>
      <w:lvlText w:val="●"/>
      <w:lvlJc w:val="left"/>
      <w:pPr>
        <w:ind w:left="1700" w:hanging="425"/>
      </w:pPr>
      <w:rPr>
        <w:rFonts w:ascii="Arial" w:hAnsi="Arial" w:hint="default"/>
        <w:color w:val="4472C4" w:themeColor="accent1"/>
        <w:sz w:val="22"/>
      </w:rPr>
    </w:lvl>
    <w:lvl w:ilvl="4">
      <w:start w:val="1"/>
      <w:numFmt w:val="bullet"/>
      <w:pStyle w:val="ParaBulletIndent4"/>
      <w:lvlText w:val="○"/>
      <w:lvlJc w:val="left"/>
      <w:pPr>
        <w:ind w:left="2125" w:hanging="425"/>
      </w:pPr>
      <w:rPr>
        <w:rFonts w:ascii="Arial" w:hAnsi="Arial" w:hint="default"/>
        <w:color w:val="4472C4" w:themeColor="accent1"/>
        <w:sz w:val="22"/>
        <w:szCs w:val="16"/>
      </w:rPr>
    </w:lvl>
    <w:lvl w:ilvl="5">
      <w:start w:val="1"/>
      <w:numFmt w:val="bullet"/>
      <w:pStyle w:val="BulletTextIndent5"/>
      <w:lvlText w:val="○"/>
      <w:lvlJc w:val="left"/>
      <w:pPr>
        <w:ind w:left="2126" w:hanging="425"/>
      </w:pPr>
      <w:rPr>
        <w:rFonts w:ascii="Arial" w:hAnsi="Arial" w:hint="default"/>
        <w:color w:val="4472C4" w:themeColor="accent1"/>
        <w:sz w:val="22"/>
      </w:rPr>
    </w:lvl>
    <w:lvl w:ilvl="6">
      <w:start w:val="1"/>
      <w:numFmt w:val="bullet"/>
      <w:pStyle w:val="BulletTextIndent6"/>
      <w:lvlText w:val="○"/>
      <w:lvlJc w:val="left"/>
      <w:pPr>
        <w:ind w:left="2126" w:hanging="425"/>
      </w:pPr>
      <w:rPr>
        <w:rFonts w:ascii="Arial" w:hAnsi="Arial" w:hint="default"/>
        <w:color w:val="4472C4" w:themeColor="accent1"/>
        <w:sz w:val="22"/>
      </w:rPr>
    </w:lvl>
    <w:lvl w:ilvl="7">
      <w:start w:val="1"/>
      <w:numFmt w:val="bullet"/>
      <w:pStyle w:val="BulletTextIndent7"/>
      <w:lvlText w:val="○"/>
      <w:lvlJc w:val="left"/>
      <w:pPr>
        <w:ind w:left="2126" w:hanging="425"/>
      </w:pPr>
      <w:rPr>
        <w:rFonts w:ascii="Arial" w:hAnsi="Arial" w:hint="default"/>
        <w:color w:val="4472C4" w:themeColor="accent1"/>
        <w:sz w:val="22"/>
      </w:rPr>
    </w:lvl>
    <w:lvl w:ilvl="8">
      <w:start w:val="1"/>
      <w:numFmt w:val="bullet"/>
      <w:pStyle w:val="BulletTextIndent8"/>
      <w:lvlText w:val="○"/>
      <w:lvlJc w:val="left"/>
      <w:pPr>
        <w:ind w:left="2126" w:hanging="425"/>
      </w:pPr>
      <w:rPr>
        <w:rFonts w:ascii="Arial" w:hAnsi="Arial" w:hint="default"/>
        <w:color w:val="4472C4" w:themeColor="accent1"/>
        <w:sz w:val="22"/>
      </w:rPr>
    </w:lvl>
  </w:abstractNum>
  <w:abstractNum w:abstractNumId="11" w15:restartNumberingAfterBreak="0">
    <w:nsid w:val="46B26FEA"/>
    <w:multiLevelType w:val="multilevel"/>
    <w:tmpl w:val="161A6582"/>
    <w:lvl w:ilvl="0">
      <w:start w:val="1"/>
      <w:numFmt w:val="none"/>
      <w:pStyle w:val="BodyText"/>
      <w:lvlText w:val=""/>
      <w:lvlJc w:val="left"/>
      <w:pPr>
        <w:ind w:left="0" w:firstLine="0"/>
      </w:pPr>
      <w:rPr>
        <w:rFonts w:hint="default"/>
        <w:color w:val="003D4C"/>
        <w:sz w:val="24"/>
        <w:szCs w:val="24"/>
      </w:rPr>
    </w:lvl>
    <w:lvl w:ilvl="1">
      <w:start w:val="1"/>
      <w:numFmt w:val="bullet"/>
      <w:pStyle w:val="ListBullet"/>
      <w:lvlText w:val="■"/>
      <w:lvlJc w:val="left"/>
      <w:pPr>
        <w:ind w:left="425" w:hanging="425"/>
      </w:pPr>
      <w:rPr>
        <w:rFonts w:ascii="Arial" w:hAnsi="Arial" w:hint="default"/>
        <w:color w:val="003D4C"/>
        <w:sz w:val="22"/>
        <w:szCs w:val="22"/>
      </w:rPr>
    </w:lvl>
    <w:lvl w:ilvl="2">
      <w:start w:val="1"/>
      <w:numFmt w:val="bullet"/>
      <w:pStyle w:val="ListBulletIndent"/>
      <w:lvlText w:val="□"/>
      <w:lvlJc w:val="left"/>
      <w:pPr>
        <w:ind w:left="851" w:hanging="426"/>
      </w:pPr>
      <w:rPr>
        <w:rFonts w:ascii="Arial" w:hAnsi="Arial" w:hint="default"/>
        <w:color w:val="4472C4" w:themeColor="accent1"/>
        <w:sz w:val="22"/>
      </w:rPr>
    </w:lvl>
    <w:lvl w:ilvl="3">
      <w:start w:val="1"/>
      <w:numFmt w:val="bullet"/>
      <w:pStyle w:val="ListBulletIndent2"/>
      <w:lvlText w:val="–"/>
      <w:lvlJc w:val="left"/>
      <w:pPr>
        <w:ind w:left="1276" w:hanging="425"/>
      </w:pPr>
      <w:rPr>
        <w:rFonts w:ascii="Arial" w:hAnsi="Arial" w:hint="default"/>
        <w:color w:val="003D4C"/>
        <w:sz w:val="22"/>
      </w:rPr>
    </w:lvl>
    <w:lvl w:ilvl="4">
      <w:start w:val="1"/>
      <w:numFmt w:val="bullet"/>
      <w:pStyle w:val="ListBulletIndent3"/>
      <w:lvlText w:val="●"/>
      <w:lvlJc w:val="left"/>
      <w:pPr>
        <w:ind w:left="1701" w:hanging="425"/>
      </w:pPr>
      <w:rPr>
        <w:rFonts w:ascii="Arial" w:hAnsi="Arial" w:hint="default"/>
        <w:color w:val="4472C4" w:themeColor="accent1"/>
        <w:u w:color="4472C4" w:themeColor="accent1"/>
      </w:rPr>
    </w:lvl>
    <w:lvl w:ilvl="5">
      <w:start w:val="1"/>
      <w:numFmt w:val="bullet"/>
      <w:pStyle w:val="ListBulletIndent4"/>
      <w:lvlText w:val="○"/>
      <w:lvlJc w:val="left"/>
      <w:pPr>
        <w:ind w:left="2126" w:hanging="425"/>
      </w:pPr>
      <w:rPr>
        <w:rFonts w:ascii="Arial" w:hAnsi="Arial" w:hint="default"/>
        <w:color w:val="4472C4" w:themeColor="accent1"/>
        <w:sz w:val="22"/>
      </w:rPr>
    </w:lvl>
    <w:lvl w:ilvl="6">
      <w:start w:val="1"/>
      <w:numFmt w:val="bullet"/>
      <w:lvlText w:val="○"/>
      <w:lvlJc w:val="left"/>
      <w:pPr>
        <w:ind w:left="2126" w:hanging="425"/>
      </w:pPr>
      <w:rPr>
        <w:rFonts w:ascii="Arial" w:hAnsi="Arial" w:hint="default"/>
        <w:color w:val="4472C4" w:themeColor="accent1"/>
        <w:sz w:val="22"/>
      </w:rPr>
    </w:lvl>
    <w:lvl w:ilvl="7">
      <w:start w:val="1"/>
      <w:numFmt w:val="bullet"/>
      <w:lvlText w:val="○"/>
      <w:lvlJc w:val="left"/>
      <w:pPr>
        <w:ind w:left="2126" w:hanging="425"/>
      </w:pPr>
      <w:rPr>
        <w:rFonts w:ascii="Arial" w:hAnsi="Arial" w:hint="default"/>
        <w:color w:val="4472C4" w:themeColor="accent1"/>
        <w:sz w:val="22"/>
      </w:rPr>
    </w:lvl>
    <w:lvl w:ilvl="8">
      <w:start w:val="1"/>
      <w:numFmt w:val="bullet"/>
      <w:lvlText w:val="○"/>
      <w:lvlJc w:val="left"/>
      <w:pPr>
        <w:ind w:left="2126" w:hanging="425"/>
      </w:pPr>
      <w:rPr>
        <w:rFonts w:ascii="Arial" w:hAnsi="Arial" w:hint="default"/>
        <w:color w:val="4472C4" w:themeColor="accent1"/>
        <w:sz w:val="22"/>
      </w:rPr>
    </w:lvl>
  </w:abstractNum>
  <w:abstractNum w:abstractNumId="12" w15:restartNumberingAfterBreak="0">
    <w:nsid w:val="4A502162"/>
    <w:multiLevelType w:val="multilevel"/>
    <w:tmpl w:val="574A281E"/>
    <w:lvl w:ilvl="0">
      <w:start w:val="1"/>
      <w:numFmt w:val="decimal"/>
      <w:lvlText w:val="%1"/>
      <w:lvlJc w:val="left"/>
      <w:pPr>
        <w:ind w:left="720" w:hanging="360"/>
      </w:pPr>
      <w:rPr>
        <w:rFonts w:hint="default"/>
        <w:color w:val="FFC000"/>
        <w:sz w:val="24"/>
        <w:szCs w:val="24"/>
      </w:rPr>
    </w:lvl>
    <w:lvl w:ilvl="1">
      <w:start w:val="1"/>
      <w:numFmt w:val="decimal"/>
      <w:isLgl/>
      <w:lvlText w:val="%1.%2"/>
      <w:lvlJc w:val="left"/>
      <w:pPr>
        <w:ind w:left="720" w:hanging="360"/>
      </w:pPr>
      <w:rPr>
        <w:rFonts w:ascii="Aptos" w:hAnsi="Aptos" w:cstheme="minorBidi" w:hint="default"/>
        <w:b/>
        <w:color w:val="FFC000"/>
        <w:sz w:val="24"/>
      </w:rPr>
    </w:lvl>
    <w:lvl w:ilvl="2">
      <w:start w:val="1"/>
      <w:numFmt w:val="decimal"/>
      <w:isLgl/>
      <w:lvlText w:val="%1.%2.%3"/>
      <w:lvlJc w:val="left"/>
      <w:pPr>
        <w:ind w:left="1080" w:hanging="720"/>
      </w:pPr>
      <w:rPr>
        <w:rFonts w:ascii="Aptos" w:hAnsi="Aptos" w:cstheme="minorBidi" w:hint="default"/>
        <w:b/>
        <w:color w:val="FFC000"/>
        <w:sz w:val="24"/>
      </w:rPr>
    </w:lvl>
    <w:lvl w:ilvl="3">
      <w:start w:val="1"/>
      <w:numFmt w:val="decimal"/>
      <w:isLgl/>
      <w:lvlText w:val="%1.%2.%3.%4"/>
      <w:lvlJc w:val="left"/>
      <w:pPr>
        <w:ind w:left="1080" w:hanging="720"/>
      </w:pPr>
      <w:rPr>
        <w:rFonts w:ascii="Aptos" w:hAnsi="Aptos" w:cstheme="minorBidi" w:hint="default"/>
        <w:b/>
        <w:color w:val="FFC000"/>
        <w:sz w:val="24"/>
      </w:rPr>
    </w:lvl>
    <w:lvl w:ilvl="4">
      <w:start w:val="1"/>
      <w:numFmt w:val="decimal"/>
      <w:isLgl/>
      <w:lvlText w:val="%1.%2.%3.%4.%5"/>
      <w:lvlJc w:val="left"/>
      <w:pPr>
        <w:ind w:left="1080" w:hanging="720"/>
      </w:pPr>
      <w:rPr>
        <w:rFonts w:ascii="Aptos" w:hAnsi="Aptos" w:cstheme="minorBidi" w:hint="default"/>
        <w:b/>
        <w:color w:val="FFC000"/>
        <w:sz w:val="24"/>
      </w:rPr>
    </w:lvl>
    <w:lvl w:ilvl="5">
      <w:start w:val="1"/>
      <w:numFmt w:val="decimal"/>
      <w:isLgl/>
      <w:lvlText w:val="%1.%2.%3.%4.%5.%6"/>
      <w:lvlJc w:val="left"/>
      <w:pPr>
        <w:ind w:left="1440" w:hanging="1080"/>
      </w:pPr>
      <w:rPr>
        <w:rFonts w:ascii="Aptos" w:hAnsi="Aptos" w:cstheme="minorBidi" w:hint="default"/>
        <w:b/>
        <w:color w:val="FFC000"/>
        <w:sz w:val="24"/>
      </w:rPr>
    </w:lvl>
    <w:lvl w:ilvl="6">
      <w:start w:val="1"/>
      <w:numFmt w:val="decimal"/>
      <w:isLgl/>
      <w:lvlText w:val="%1.%2.%3.%4.%5.%6.%7"/>
      <w:lvlJc w:val="left"/>
      <w:pPr>
        <w:ind w:left="1440" w:hanging="1080"/>
      </w:pPr>
      <w:rPr>
        <w:rFonts w:ascii="Aptos" w:hAnsi="Aptos" w:cstheme="minorBidi" w:hint="default"/>
        <w:b/>
        <w:color w:val="FFC000"/>
        <w:sz w:val="24"/>
      </w:rPr>
    </w:lvl>
    <w:lvl w:ilvl="7">
      <w:start w:val="1"/>
      <w:numFmt w:val="decimal"/>
      <w:isLgl/>
      <w:lvlText w:val="%1.%2.%3.%4.%5.%6.%7.%8"/>
      <w:lvlJc w:val="left"/>
      <w:pPr>
        <w:ind w:left="1800" w:hanging="1440"/>
      </w:pPr>
      <w:rPr>
        <w:rFonts w:ascii="Aptos" w:hAnsi="Aptos" w:cstheme="minorBidi" w:hint="default"/>
        <w:b/>
        <w:color w:val="FFC000"/>
        <w:sz w:val="24"/>
      </w:rPr>
    </w:lvl>
    <w:lvl w:ilvl="8">
      <w:start w:val="1"/>
      <w:numFmt w:val="decimal"/>
      <w:isLgl/>
      <w:lvlText w:val="%1.%2.%3.%4.%5.%6.%7.%8.%9"/>
      <w:lvlJc w:val="left"/>
      <w:pPr>
        <w:ind w:left="1800" w:hanging="1440"/>
      </w:pPr>
      <w:rPr>
        <w:rFonts w:ascii="Aptos" w:hAnsi="Aptos" w:cstheme="minorBidi" w:hint="default"/>
        <w:b/>
        <w:color w:val="FFC000"/>
        <w:sz w:val="24"/>
      </w:rPr>
    </w:lvl>
  </w:abstractNum>
  <w:abstractNum w:abstractNumId="13" w15:restartNumberingAfterBreak="0">
    <w:nsid w:val="4EDA3EFA"/>
    <w:multiLevelType w:val="hybridMultilevel"/>
    <w:tmpl w:val="69FC86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2915ADC"/>
    <w:multiLevelType w:val="multilevel"/>
    <w:tmpl w:val="385A4890"/>
    <w:lvl w:ilvl="0">
      <w:start w:val="1"/>
      <w:numFmt w:val="decimal"/>
      <w:lvlText w:val="%1."/>
      <w:lvlJc w:val="left"/>
      <w:pPr>
        <w:ind w:left="72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7E37B0C"/>
    <w:multiLevelType w:val="multilevel"/>
    <w:tmpl w:val="951A85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58254821"/>
    <w:multiLevelType w:val="multilevel"/>
    <w:tmpl w:val="9D70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F575E3"/>
    <w:multiLevelType w:val="hybridMultilevel"/>
    <w:tmpl w:val="FDC655B6"/>
    <w:lvl w:ilvl="0" w:tplc="024C5ED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D33364"/>
    <w:multiLevelType w:val="hybridMultilevel"/>
    <w:tmpl w:val="5A70E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22019D"/>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273171693">
    <w:abstractNumId w:val="11"/>
  </w:num>
  <w:num w:numId="2" w16cid:durableId="1041321902">
    <w:abstractNumId w:val="10"/>
  </w:num>
  <w:num w:numId="3" w16cid:durableId="684720237">
    <w:abstractNumId w:val="4"/>
  </w:num>
  <w:num w:numId="4" w16cid:durableId="226691588">
    <w:abstractNumId w:val="15"/>
  </w:num>
  <w:num w:numId="5" w16cid:durableId="26300572">
    <w:abstractNumId w:val="8"/>
  </w:num>
  <w:num w:numId="6" w16cid:durableId="418136206">
    <w:abstractNumId w:val="13"/>
  </w:num>
  <w:num w:numId="7" w16cid:durableId="1530290138">
    <w:abstractNumId w:val="0"/>
  </w:num>
  <w:num w:numId="8" w16cid:durableId="303971592">
    <w:abstractNumId w:val="5"/>
  </w:num>
  <w:num w:numId="9" w16cid:durableId="2123262827">
    <w:abstractNumId w:val="6"/>
  </w:num>
  <w:num w:numId="10" w16cid:durableId="1318343772">
    <w:abstractNumId w:val="12"/>
  </w:num>
  <w:num w:numId="11" w16cid:durableId="1104614264">
    <w:abstractNumId w:val="9"/>
  </w:num>
  <w:num w:numId="12" w16cid:durableId="1226793382">
    <w:abstractNumId w:val="14"/>
  </w:num>
  <w:num w:numId="13" w16cid:durableId="1389458136">
    <w:abstractNumId w:val="1"/>
  </w:num>
  <w:num w:numId="14" w16cid:durableId="256333452">
    <w:abstractNumId w:val="19"/>
  </w:num>
  <w:num w:numId="15" w16cid:durableId="2138991263">
    <w:abstractNumId w:val="2"/>
  </w:num>
  <w:num w:numId="16" w16cid:durableId="1279992106">
    <w:abstractNumId w:val="7"/>
  </w:num>
  <w:num w:numId="17" w16cid:durableId="1420255075">
    <w:abstractNumId w:val="18"/>
  </w:num>
  <w:num w:numId="18" w16cid:durableId="1485901227">
    <w:abstractNumId w:val="16"/>
  </w:num>
  <w:num w:numId="19" w16cid:durableId="1153179195">
    <w:abstractNumId w:val="17"/>
  </w:num>
  <w:num w:numId="20" w16cid:durableId="1066299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84"/>
    <w:rsid w:val="00003636"/>
    <w:rsid w:val="00007926"/>
    <w:rsid w:val="00007DE2"/>
    <w:rsid w:val="00017B05"/>
    <w:rsid w:val="0002051C"/>
    <w:rsid w:val="00036B68"/>
    <w:rsid w:val="0004680D"/>
    <w:rsid w:val="00046FB9"/>
    <w:rsid w:val="00053F8C"/>
    <w:rsid w:val="00054014"/>
    <w:rsid w:val="00063996"/>
    <w:rsid w:val="000647E3"/>
    <w:rsid w:val="00073921"/>
    <w:rsid w:val="000741D3"/>
    <w:rsid w:val="0008094B"/>
    <w:rsid w:val="000862B6"/>
    <w:rsid w:val="00086BB7"/>
    <w:rsid w:val="0009373C"/>
    <w:rsid w:val="000A1D0F"/>
    <w:rsid w:val="000B4858"/>
    <w:rsid w:val="000B4ACB"/>
    <w:rsid w:val="000B59A7"/>
    <w:rsid w:val="000B732E"/>
    <w:rsid w:val="000D2C03"/>
    <w:rsid w:val="000F6F77"/>
    <w:rsid w:val="00137659"/>
    <w:rsid w:val="001410E2"/>
    <w:rsid w:val="0014325E"/>
    <w:rsid w:val="00145724"/>
    <w:rsid w:val="00160E59"/>
    <w:rsid w:val="001630E6"/>
    <w:rsid w:val="00175341"/>
    <w:rsid w:val="00177170"/>
    <w:rsid w:val="001828DF"/>
    <w:rsid w:val="0018426B"/>
    <w:rsid w:val="00187F71"/>
    <w:rsid w:val="001916CA"/>
    <w:rsid w:val="001B42D7"/>
    <w:rsid w:val="001F0BFA"/>
    <w:rsid w:val="001F2135"/>
    <w:rsid w:val="001F5C2B"/>
    <w:rsid w:val="00212D77"/>
    <w:rsid w:val="00215DC1"/>
    <w:rsid w:val="0022259D"/>
    <w:rsid w:val="00223A54"/>
    <w:rsid w:val="0022458B"/>
    <w:rsid w:val="00227012"/>
    <w:rsid w:val="00241A6D"/>
    <w:rsid w:val="00261BB2"/>
    <w:rsid w:val="00266839"/>
    <w:rsid w:val="002914B9"/>
    <w:rsid w:val="00295756"/>
    <w:rsid w:val="002B3F2F"/>
    <w:rsid w:val="002C3B45"/>
    <w:rsid w:val="002C5B84"/>
    <w:rsid w:val="002E4F30"/>
    <w:rsid w:val="002E71AD"/>
    <w:rsid w:val="002F010E"/>
    <w:rsid w:val="002F1F82"/>
    <w:rsid w:val="002F3981"/>
    <w:rsid w:val="002F62B0"/>
    <w:rsid w:val="003013DB"/>
    <w:rsid w:val="00306CE6"/>
    <w:rsid w:val="003230F8"/>
    <w:rsid w:val="0032399D"/>
    <w:rsid w:val="00325CB8"/>
    <w:rsid w:val="003263D6"/>
    <w:rsid w:val="00327F6D"/>
    <w:rsid w:val="003561B7"/>
    <w:rsid w:val="0036293D"/>
    <w:rsid w:val="00364171"/>
    <w:rsid w:val="00381745"/>
    <w:rsid w:val="00391BE7"/>
    <w:rsid w:val="00397F05"/>
    <w:rsid w:val="003A5494"/>
    <w:rsid w:val="003B511C"/>
    <w:rsid w:val="003C319E"/>
    <w:rsid w:val="003C6074"/>
    <w:rsid w:val="003D20E3"/>
    <w:rsid w:val="003E5C55"/>
    <w:rsid w:val="004031F0"/>
    <w:rsid w:val="0042109A"/>
    <w:rsid w:val="004374D8"/>
    <w:rsid w:val="00440AF7"/>
    <w:rsid w:val="0045053D"/>
    <w:rsid w:val="00456944"/>
    <w:rsid w:val="00460057"/>
    <w:rsid w:val="00461C2D"/>
    <w:rsid w:val="004717F2"/>
    <w:rsid w:val="004832DD"/>
    <w:rsid w:val="00484818"/>
    <w:rsid w:val="004921F5"/>
    <w:rsid w:val="00492BD7"/>
    <w:rsid w:val="004C1098"/>
    <w:rsid w:val="004C1380"/>
    <w:rsid w:val="004C35AC"/>
    <w:rsid w:val="004C6D59"/>
    <w:rsid w:val="004C6EDB"/>
    <w:rsid w:val="004D2AB5"/>
    <w:rsid w:val="004F4842"/>
    <w:rsid w:val="00510471"/>
    <w:rsid w:val="00511B3D"/>
    <w:rsid w:val="00512CA9"/>
    <w:rsid w:val="005361A7"/>
    <w:rsid w:val="00542403"/>
    <w:rsid w:val="0056072D"/>
    <w:rsid w:val="00570062"/>
    <w:rsid w:val="005A2E8E"/>
    <w:rsid w:val="005B207B"/>
    <w:rsid w:val="005C577A"/>
    <w:rsid w:val="005D55E0"/>
    <w:rsid w:val="005F21F8"/>
    <w:rsid w:val="00605480"/>
    <w:rsid w:val="006171F5"/>
    <w:rsid w:val="00626922"/>
    <w:rsid w:val="00644D65"/>
    <w:rsid w:val="00662E64"/>
    <w:rsid w:val="00675674"/>
    <w:rsid w:val="006764E4"/>
    <w:rsid w:val="006A6AF3"/>
    <w:rsid w:val="006A6DC8"/>
    <w:rsid w:val="006C589F"/>
    <w:rsid w:val="006D0384"/>
    <w:rsid w:val="006D3A25"/>
    <w:rsid w:val="006D3FD9"/>
    <w:rsid w:val="006D43C7"/>
    <w:rsid w:val="006D7278"/>
    <w:rsid w:val="006F0108"/>
    <w:rsid w:val="006F66F9"/>
    <w:rsid w:val="00703971"/>
    <w:rsid w:val="00704E82"/>
    <w:rsid w:val="007204FA"/>
    <w:rsid w:val="00734431"/>
    <w:rsid w:val="007361F7"/>
    <w:rsid w:val="00742337"/>
    <w:rsid w:val="007462E7"/>
    <w:rsid w:val="007544AB"/>
    <w:rsid w:val="00755B2C"/>
    <w:rsid w:val="007572BA"/>
    <w:rsid w:val="0077207A"/>
    <w:rsid w:val="0077754A"/>
    <w:rsid w:val="007823F0"/>
    <w:rsid w:val="0078496B"/>
    <w:rsid w:val="007A1877"/>
    <w:rsid w:val="007B42B1"/>
    <w:rsid w:val="007B5B94"/>
    <w:rsid w:val="007C4399"/>
    <w:rsid w:val="007D3B88"/>
    <w:rsid w:val="007D5EF5"/>
    <w:rsid w:val="007E6344"/>
    <w:rsid w:val="007E765D"/>
    <w:rsid w:val="007E7730"/>
    <w:rsid w:val="007F03F0"/>
    <w:rsid w:val="007F409B"/>
    <w:rsid w:val="008009D9"/>
    <w:rsid w:val="00804256"/>
    <w:rsid w:val="008278B4"/>
    <w:rsid w:val="00832E46"/>
    <w:rsid w:val="00833576"/>
    <w:rsid w:val="008338CC"/>
    <w:rsid w:val="00833C33"/>
    <w:rsid w:val="00845945"/>
    <w:rsid w:val="00847B28"/>
    <w:rsid w:val="0087534A"/>
    <w:rsid w:val="00875CAD"/>
    <w:rsid w:val="008B2A58"/>
    <w:rsid w:val="008F1764"/>
    <w:rsid w:val="008F30AC"/>
    <w:rsid w:val="008F7570"/>
    <w:rsid w:val="00930619"/>
    <w:rsid w:val="00931007"/>
    <w:rsid w:val="0093311D"/>
    <w:rsid w:val="00940E40"/>
    <w:rsid w:val="009607EC"/>
    <w:rsid w:val="00960CD0"/>
    <w:rsid w:val="0096728B"/>
    <w:rsid w:val="00980246"/>
    <w:rsid w:val="009919E4"/>
    <w:rsid w:val="009B246B"/>
    <w:rsid w:val="009C026C"/>
    <w:rsid w:val="009C1E98"/>
    <w:rsid w:val="009D07A2"/>
    <w:rsid w:val="009D2338"/>
    <w:rsid w:val="009D39CB"/>
    <w:rsid w:val="00A24CED"/>
    <w:rsid w:val="00A447A6"/>
    <w:rsid w:val="00A5367A"/>
    <w:rsid w:val="00A626B6"/>
    <w:rsid w:val="00A64093"/>
    <w:rsid w:val="00A65CEB"/>
    <w:rsid w:val="00A74F8F"/>
    <w:rsid w:val="00A75168"/>
    <w:rsid w:val="00A83878"/>
    <w:rsid w:val="00A86C42"/>
    <w:rsid w:val="00A87A85"/>
    <w:rsid w:val="00A94327"/>
    <w:rsid w:val="00A95116"/>
    <w:rsid w:val="00A97304"/>
    <w:rsid w:val="00A97F94"/>
    <w:rsid w:val="00AA36C7"/>
    <w:rsid w:val="00AB70F4"/>
    <w:rsid w:val="00AC3740"/>
    <w:rsid w:val="00AD42B7"/>
    <w:rsid w:val="00AD57C9"/>
    <w:rsid w:val="00AF257E"/>
    <w:rsid w:val="00AF3B4C"/>
    <w:rsid w:val="00AF4ECB"/>
    <w:rsid w:val="00AF7EA6"/>
    <w:rsid w:val="00B02963"/>
    <w:rsid w:val="00B05909"/>
    <w:rsid w:val="00B269C4"/>
    <w:rsid w:val="00B744BB"/>
    <w:rsid w:val="00B758F0"/>
    <w:rsid w:val="00B82BDD"/>
    <w:rsid w:val="00B83FE3"/>
    <w:rsid w:val="00B87A83"/>
    <w:rsid w:val="00B93F78"/>
    <w:rsid w:val="00BA1ACD"/>
    <w:rsid w:val="00BB347E"/>
    <w:rsid w:val="00BC174E"/>
    <w:rsid w:val="00BE059B"/>
    <w:rsid w:val="00BE5631"/>
    <w:rsid w:val="00C03DEA"/>
    <w:rsid w:val="00C27417"/>
    <w:rsid w:val="00C36429"/>
    <w:rsid w:val="00C416DE"/>
    <w:rsid w:val="00C612C1"/>
    <w:rsid w:val="00C7440D"/>
    <w:rsid w:val="00C83258"/>
    <w:rsid w:val="00CA3287"/>
    <w:rsid w:val="00CB12EC"/>
    <w:rsid w:val="00CC00F2"/>
    <w:rsid w:val="00CC4F64"/>
    <w:rsid w:val="00CD791E"/>
    <w:rsid w:val="00CE00C7"/>
    <w:rsid w:val="00CE7129"/>
    <w:rsid w:val="00D00D99"/>
    <w:rsid w:val="00D04AD8"/>
    <w:rsid w:val="00D118B6"/>
    <w:rsid w:val="00D2289C"/>
    <w:rsid w:val="00D327B1"/>
    <w:rsid w:val="00D34020"/>
    <w:rsid w:val="00D47246"/>
    <w:rsid w:val="00D56312"/>
    <w:rsid w:val="00D64C6D"/>
    <w:rsid w:val="00D66A0B"/>
    <w:rsid w:val="00D7029D"/>
    <w:rsid w:val="00D7639D"/>
    <w:rsid w:val="00D945BF"/>
    <w:rsid w:val="00DA279E"/>
    <w:rsid w:val="00DB704D"/>
    <w:rsid w:val="00DC4B33"/>
    <w:rsid w:val="00DD2CD6"/>
    <w:rsid w:val="00DE06DB"/>
    <w:rsid w:val="00DE1433"/>
    <w:rsid w:val="00DF528E"/>
    <w:rsid w:val="00DF57F4"/>
    <w:rsid w:val="00DF65DC"/>
    <w:rsid w:val="00E1187F"/>
    <w:rsid w:val="00E221FD"/>
    <w:rsid w:val="00E30BBD"/>
    <w:rsid w:val="00E32525"/>
    <w:rsid w:val="00E3537B"/>
    <w:rsid w:val="00E4639C"/>
    <w:rsid w:val="00E5338E"/>
    <w:rsid w:val="00E60236"/>
    <w:rsid w:val="00E65964"/>
    <w:rsid w:val="00E71241"/>
    <w:rsid w:val="00E76218"/>
    <w:rsid w:val="00E80837"/>
    <w:rsid w:val="00E8137C"/>
    <w:rsid w:val="00E81FE8"/>
    <w:rsid w:val="00E8694D"/>
    <w:rsid w:val="00E91AF8"/>
    <w:rsid w:val="00EA05E2"/>
    <w:rsid w:val="00EA18AA"/>
    <w:rsid w:val="00EA23F7"/>
    <w:rsid w:val="00EA3DF4"/>
    <w:rsid w:val="00ED41D9"/>
    <w:rsid w:val="00ED50A4"/>
    <w:rsid w:val="00ED5BB5"/>
    <w:rsid w:val="00EE2FF0"/>
    <w:rsid w:val="00EF0171"/>
    <w:rsid w:val="00EF16F0"/>
    <w:rsid w:val="00F03581"/>
    <w:rsid w:val="00F27B29"/>
    <w:rsid w:val="00F45DF7"/>
    <w:rsid w:val="00F45FFD"/>
    <w:rsid w:val="00F55711"/>
    <w:rsid w:val="00F81614"/>
    <w:rsid w:val="00F85814"/>
    <w:rsid w:val="00F85847"/>
    <w:rsid w:val="00FA2EDC"/>
    <w:rsid w:val="00FA3592"/>
    <w:rsid w:val="00FA3731"/>
    <w:rsid w:val="00FA5518"/>
    <w:rsid w:val="00FC4E04"/>
    <w:rsid w:val="00FD49B1"/>
    <w:rsid w:val="00FD51E9"/>
    <w:rsid w:val="00FD6D2C"/>
    <w:rsid w:val="00FE1D15"/>
    <w:rsid w:val="00FF3657"/>
  </w:rsids>
  <m:mathPr>
    <m:mathFont m:val="Cambria Math"/>
    <m:brkBin m:val="before"/>
    <m:brkBinSub m:val="--"/>
    <m:smallFrac m:val="0"/>
    <m:dispDef/>
    <m:lMargin m:val="0"/>
    <m:rMargin m:val="0"/>
    <m:defJc m:val="centerGroup"/>
    <m:wrapIndent m:val="1440"/>
    <m:intLim m:val="subSup"/>
    <m:naryLim m:val="undOvr"/>
  </m:mathPr>
  <w:themeFontLang w:val="en-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0319E"/>
  <w15:chartTrackingRefBased/>
  <w15:docId w15:val="{E9A5E956-8322-5A47-BE41-8A4CF685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E06DB"/>
    <w:pPr>
      <w:keepNext/>
      <w:keepLines/>
      <w:numPr>
        <w:ilvl w:val="1"/>
        <w:numId w:val="1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E06DB"/>
    <w:pPr>
      <w:keepNext/>
      <w:keepLines/>
      <w:numPr>
        <w:ilvl w:val="2"/>
        <w:numId w:val="1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E06DB"/>
    <w:pPr>
      <w:keepNext/>
      <w:keepLines/>
      <w:numPr>
        <w:ilvl w:val="3"/>
        <w:numId w:val="1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06DB"/>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E06DB"/>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E06DB"/>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E06DB"/>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06DB"/>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384"/>
    <w:pPr>
      <w:tabs>
        <w:tab w:val="center" w:pos="4513"/>
        <w:tab w:val="right" w:pos="9026"/>
      </w:tabs>
    </w:pPr>
  </w:style>
  <w:style w:type="character" w:customStyle="1" w:styleId="HeaderChar">
    <w:name w:val="Header Char"/>
    <w:basedOn w:val="DefaultParagraphFont"/>
    <w:link w:val="Header"/>
    <w:uiPriority w:val="99"/>
    <w:rsid w:val="006D0384"/>
  </w:style>
  <w:style w:type="paragraph" w:styleId="Footer">
    <w:name w:val="footer"/>
    <w:basedOn w:val="Normal"/>
    <w:link w:val="FooterChar"/>
    <w:uiPriority w:val="99"/>
    <w:unhideWhenUsed/>
    <w:rsid w:val="006D0384"/>
    <w:pPr>
      <w:tabs>
        <w:tab w:val="center" w:pos="4513"/>
        <w:tab w:val="right" w:pos="9026"/>
      </w:tabs>
    </w:pPr>
  </w:style>
  <w:style w:type="character" w:customStyle="1" w:styleId="FooterChar">
    <w:name w:val="Footer Char"/>
    <w:basedOn w:val="DefaultParagraphFont"/>
    <w:link w:val="Footer"/>
    <w:uiPriority w:val="99"/>
    <w:rsid w:val="006D0384"/>
  </w:style>
  <w:style w:type="character" w:styleId="PageNumber">
    <w:name w:val="page number"/>
    <w:basedOn w:val="DefaultParagraphFont"/>
    <w:uiPriority w:val="99"/>
    <w:semiHidden/>
    <w:unhideWhenUsed/>
    <w:rsid w:val="001410E2"/>
  </w:style>
  <w:style w:type="character" w:styleId="Hyperlink">
    <w:name w:val="Hyperlink"/>
    <w:basedOn w:val="DefaultParagraphFont"/>
    <w:uiPriority w:val="99"/>
    <w:unhideWhenUsed/>
    <w:rsid w:val="00C416DE"/>
    <w:rPr>
      <w:color w:val="0563C1" w:themeColor="hyperlink"/>
      <w:u w:val="single"/>
    </w:rPr>
  </w:style>
  <w:style w:type="character" w:styleId="UnresolvedMention">
    <w:name w:val="Unresolved Mention"/>
    <w:basedOn w:val="DefaultParagraphFont"/>
    <w:uiPriority w:val="99"/>
    <w:semiHidden/>
    <w:unhideWhenUsed/>
    <w:rsid w:val="00C416DE"/>
    <w:rPr>
      <w:color w:val="605E5C"/>
      <w:shd w:val="clear" w:color="auto" w:fill="E1DFDD"/>
    </w:rPr>
  </w:style>
  <w:style w:type="paragraph" w:styleId="ListParagraph">
    <w:name w:val="List Paragraph"/>
    <w:basedOn w:val="Normal"/>
    <w:uiPriority w:val="34"/>
    <w:qFormat/>
    <w:rsid w:val="00B87A83"/>
    <w:pPr>
      <w:ind w:left="720"/>
      <w:contextualSpacing/>
    </w:pPr>
  </w:style>
  <w:style w:type="paragraph" w:styleId="Revision">
    <w:name w:val="Revision"/>
    <w:hidden/>
    <w:uiPriority w:val="99"/>
    <w:semiHidden/>
    <w:rsid w:val="00755B2C"/>
  </w:style>
  <w:style w:type="character" w:styleId="CommentReference">
    <w:name w:val="annotation reference"/>
    <w:basedOn w:val="DefaultParagraphFont"/>
    <w:uiPriority w:val="99"/>
    <w:semiHidden/>
    <w:unhideWhenUsed/>
    <w:rsid w:val="00AF257E"/>
    <w:rPr>
      <w:sz w:val="16"/>
      <w:szCs w:val="16"/>
    </w:rPr>
  </w:style>
  <w:style w:type="paragraph" w:styleId="CommentText">
    <w:name w:val="annotation text"/>
    <w:basedOn w:val="Normal"/>
    <w:link w:val="CommentTextChar"/>
    <w:uiPriority w:val="99"/>
    <w:unhideWhenUsed/>
    <w:rsid w:val="00AF257E"/>
    <w:rPr>
      <w:sz w:val="20"/>
      <w:szCs w:val="20"/>
    </w:rPr>
  </w:style>
  <w:style w:type="character" w:customStyle="1" w:styleId="CommentTextChar">
    <w:name w:val="Comment Text Char"/>
    <w:basedOn w:val="DefaultParagraphFont"/>
    <w:link w:val="CommentText"/>
    <w:uiPriority w:val="99"/>
    <w:rsid w:val="00AF257E"/>
    <w:rPr>
      <w:sz w:val="20"/>
      <w:szCs w:val="20"/>
    </w:rPr>
  </w:style>
  <w:style w:type="paragraph" w:styleId="CommentSubject">
    <w:name w:val="annotation subject"/>
    <w:basedOn w:val="CommentText"/>
    <w:next w:val="CommentText"/>
    <w:link w:val="CommentSubjectChar"/>
    <w:uiPriority w:val="99"/>
    <w:semiHidden/>
    <w:unhideWhenUsed/>
    <w:rsid w:val="00AF257E"/>
    <w:rPr>
      <w:b/>
      <w:bCs/>
    </w:rPr>
  </w:style>
  <w:style w:type="character" w:customStyle="1" w:styleId="CommentSubjectChar">
    <w:name w:val="Comment Subject Char"/>
    <w:basedOn w:val="CommentTextChar"/>
    <w:link w:val="CommentSubject"/>
    <w:uiPriority w:val="99"/>
    <w:semiHidden/>
    <w:rsid w:val="00AF257E"/>
    <w:rPr>
      <w:b/>
      <w:bCs/>
      <w:sz w:val="20"/>
      <w:szCs w:val="20"/>
    </w:rPr>
  </w:style>
  <w:style w:type="paragraph" w:styleId="BodyText">
    <w:name w:val="Body Text"/>
    <w:basedOn w:val="Normal"/>
    <w:link w:val="BodyTextChar"/>
    <w:qFormat/>
    <w:rsid w:val="00B05909"/>
    <w:pPr>
      <w:numPr>
        <w:numId w:val="1"/>
      </w:numPr>
      <w:spacing w:before="240" w:after="240" w:line="300" w:lineRule="auto"/>
      <w:jc w:val="both"/>
    </w:pPr>
    <w:rPr>
      <w:rFonts w:ascii="Arial" w:hAnsi="Arial"/>
      <w:kern w:val="0"/>
      <w:sz w:val="22"/>
      <w:szCs w:val="22"/>
      <w:lang w:val="en-GB"/>
      <w14:ligatures w14:val="none"/>
    </w:rPr>
  </w:style>
  <w:style w:type="character" w:customStyle="1" w:styleId="BodyTextChar">
    <w:name w:val="Body Text Char"/>
    <w:basedOn w:val="DefaultParagraphFont"/>
    <w:link w:val="BodyText"/>
    <w:rsid w:val="00B05909"/>
    <w:rPr>
      <w:rFonts w:ascii="Arial" w:hAnsi="Arial"/>
      <w:kern w:val="0"/>
      <w:sz w:val="22"/>
      <w:szCs w:val="22"/>
      <w:lang w:val="en-GB"/>
      <w14:ligatures w14:val="none"/>
    </w:rPr>
  </w:style>
  <w:style w:type="paragraph" w:customStyle="1" w:styleId="ListBulletIndent">
    <w:name w:val="List Bullet Indent"/>
    <w:basedOn w:val="ListBullet"/>
    <w:uiPriority w:val="2"/>
    <w:rsid w:val="00B05909"/>
    <w:pPr>
      <w:numPr>
        <w:ilvl w:val="2"/>
      </w:numPr>
      <w:ind w:left="0" w:firstLine="0"/>
    </w:pPr>
  </w:style>
  <w:style w:type="paragraph" w:styleId="ListBullet">
    <w:name w:val="List Bullet"/>
    <w:basedOn w:val="Normal"/>
    <w:uiPriority w:val="2"/>
    <w:qFormat/>
    <w:rsid w:val="00B05909"/>
    <w:pPr>
      <w:numPr>
        <w:ilvl w:val="1"/>
        <w:numId w:val="1"/>
      </w:numPr>
      <w:spacing w:before="60" w:after="60" w:line="300" w:lineRule="auto"/>
      <w:ind w:left="0" w:firstLine="0"/>
      <w:jc w:val="both"/>
    </w:pPr>
    <w:rPr>
      <w:rFonts w:ascii="Arial" w:hAnsi="Arial"/>
      <w:kern w:val="0"/>
      <w:sz w:val="22"/>
      <w:szCs w:val="22"/>
      <w:lang w:val="en-GB"/>
      <w14:ligatures w14:val="none"/>
    </w:rPr>
  </w:style>
  <w:style w:type="paragraph" w:customStyle="1" w:styleId="ListBulletIndent2">
    <w:name w:val="List Bullet Indent 2"/>
    <w:basedOn w:val="ListBulletIndent"/>
    <w:uiPriority w:val="2"/>
    <w:qFormat/>
    <w:rsid w:val="00B05909"/>
    <w:pPr>
      <w:numPr>
        <w:ilvl w:val="3"/>
      </w:numPr>
      <w:ind w:left="0" w:firstLine="0"/>
    </w:pPr>
  </w:style>
  <w:style w:type="paragraph" w:customStyle="1" w:styleId="ListBulletIndent3">
    <w:name w:val="List Bullet Indent 3"/>
    <w:basedOn w:val="ListBulletIndent2"/>
    <w:uiPriority w:val="2"/>
    <w:qFormat/>
    <w:rsid w:val="00B05909"/>
    <w:pPr>
      <w:numPr>
        <w:ilvl w:val="4"/>
      </w:numPr>
      <w:ind w:left="0" w:firstLine="0"/>
    </w:pPr>
  </w:style>
  <w:style w:type="paragraph" w:customStyle="1" w:styleId="ListBulletIndent4">
    <w:name w:val="List Bullet Indent 4"/>
    <w:basedOn w:val="ListBulletIndent3"/>
    <w:uiPriority w:val="2"/>
    <w:qFormat/>
    <w:rsid w:val="00B05909"/>
    <w:pPr>
      <w:numPr>
        <w:ilvl w:val="5"/>
      </w:numPr>
      <w:ind w:left="0" w:firstLine="0"/>
    </w:pPr>
  </w:style>
  <w:style w:type="paragraph" w:customStyle="1" w:styleId="BulletTextIndent5">
    <w:name w:val="Bullet Text Indent 5"/>
    <w:basedOn w:val="Normal"/>
    <w:uiPriority w:val="2"/>
    <w:semiHidden/>
    <w:qFormat/>
    <w:rsid w:val="009B246B"/>
    <w:pPr>
      <w:numPr>
        <w:ilvl w:val="5"/>
        <w:numId w:val="2"/>
      </w:numPr>
      <w:spacing w:before="240" w:after="240" w:line="300" w:lineRule="auto"/>
    </w:pPr>
    <w:rPr>
      <w:rFonts w:ascii="Arial" w:hAnsi="Arial"/>
      <w:kern w:val="0"/>
      <w:sz w:val="22"/>
      <w:szCs w:val="22"/>
      <w:lang w:val="en-GB"/>
      <w14:ligatures w14:val="none"/>
    </w:rPr>
  </w:style>
  <w:style w:type="paragraph" w:customStyle="1" w:styleId="BulletTextIndent6">
    <w:name w:val="Bullet Text Indent 6"/>
    <w:basedOn w:val="BulletTextIndent5"/>
    <w:uiPriority w:val="2"/>
    <w:semiHidden/>
    <w:qFormat/>
    <w:rsid w:val="009B246B"/>
    <w:pPr>
      <w:numPr>
        <w:ilvl w:val="6"/>
      </w:numPr>
      <w:tabs>
        <w:tab w:val="num" w:pos="360"/>
      </w:tabs>
    </w:pPr>
  </w:style>
  <w:style w:type="paragraph" w:customStyle="1" w:styleId="BulletTextIndent7">
    <w:name w:val="Bullet Text Indent 7"/>
    <w:basedOn w:val="BulletTextIndent6"/>
    <w:uiPriority w:val="2"/>
    <w:semiHidden/>
    <w:qFormat/>
    <w:rsid w:val="009B246B"/>
    <w:pPr>
      <w:numPr>
        <w:ilvl w:val="7"/>
      </w:numPr>
    </w:pPr>
  </w:style>
  <w:style w:type="paragraph" w:customStyle="1" w:styleId="BulletTextIndent8">
    <w:name w:val="Bullet Text Indent 8"/>
    <w:basedOn w:val="BulletTextIndent7"/>
    <w:uiPriority w:val="2"/>
    <w:semiHidden/>
    <w:qFormat/>
    <w:rsid w:val="009B246B"/>
    <w:pPr>
      <w:numPr>
        <w:ilvl w:val="8"/>
      </w:numPr>
    </w:pPr>
  </w:style>
  <w:style w:type="paragraph" w:styleId="FootnoteText">
    <w:name w:val="footnote text"/>
    <w:aliases w:val="~FootnoteText"/>
    <w:basedOn w:val="Normal"/>
    <w:link w:val="FootnoteTextChar"/>
    <w:uiPriority w:val="18"/>
    <w:rsid w:val="009B246B"/>
    <w:pPr>
      <w:tabs>
        <w:tab w:val="left" w:pos="113"/>
      </w:tabs>
      <w:spacing w:before="60" w:after="60" w:line="300" w:lineRule="auto"/>
      <w:ind w:left="425" w:hanging="425"/>
    </w:pPr>
    <w:rPr>
      <w:rFonts w:ascii="Arial" w:hAnsi="Arial"/>
      <w:kern w:val="0"/>
      <w:sz w:val="16"/>
      <w:szCs w:val="20"/>
      <w:lang w:val="en-GB"/>
      <w14:ligatures w14:val="none"/>
    </w:rPr>
  </w:style>
  <w:style w:type="character" w:customStyle="1" w:styleId="FootnoteTextChar">
    <w:name w:val="Footnote Text Char"/>
    <w:aliases w:val="~FootnoteText Char"/>
    <w:basedOn w:val="DefaultParagraphFont"/>
    <w:link w:val="FootnoteText"/>
    <w:uiPriority w:val="18"/>
    <w:rsid w:val="009B246B"/>
    <w:rPr>
      <w:rFonts w:ascii="Arial" w:hAnsi="Arial"/>
      <w:kern w:val="0"/>
      <w:sz w:val="16"/>
      <w:szCs w:val="20"/>
      <w:lang w:val="en-GB"/>
      <w14:ligatures w14:val="none"/>
    </w:rPr>
  </w:style>
  <w:style w:type="character" w:styleId="FootnoteReference">
    <w:name w:val="footnote reference"/>
    <w:aliases w:val="~FootnoteRef"/>
    <w:basedOn w:val="DefaultParagraphFont"/>
    <w:uiPriority w:val="99"/>
    <w:rsid w:val="009B246B"/>
    <w:rPr>
      <w:rFonts w:ascii="Arial" w:hAnsi="Arial"/>
      <w:color w:val="4472C4" w:themeColor="accent1"/>
      <w:sz w:val="20"/>
      <w:vertAlign w:val="superscript"/>
    </w:rPr>
  </w:style>
  <w:style w:type="paragraph" w:customStyle="1" w:styleId="ParaBullet">
    <w:name w:val="Para Bullet"/>
    <w:basedOn w:val="Normal"/>
    <w:uiPriority w:val="2"/>
    <w:qFormat/>
    <w:rsid w:val="009B246B"/>
    <w:pPr>
      <w:numPr>
        <w:numId w:val="2"/>
      </w:numPr>
      <w:spacing w:before="240" w:after="240" w:line="300" w:lineRule="auto"/>
      <w:jc w:val="both"/>
    </w:pPr>
    <w:rPr>
      <w:rFonts w:ascii="Arial" w:hAnsi="Arial"/>
      <w:kern w:val="0"/>
      <w:sz w:val="22"/>
      <w:szCs w:val="22"/>
      <w:lang w:val="en-GB"/>
      <w14:ligatures w14:val="none"/>
    </w:rPr>
  </w:style>
  <w:style w:type="paragraph" w:customStyle="1" w:styleId="ParaBulletIndent">
    <w:name w:val="Para Bullet Indent"/>
    <w:basedOn w:val="ParaBullet"/>
    <w:uiPriority w:val="2"/>
    <w:rsid w:val="009B246B"/>
    <w:pPr>
      <w:numPr>
        <w:ilvl w:val="1"/>
      </w:numPr>
    </w:pPr>
  </w:style>
  <w:style w:type="paragraph" w:customStyle="1" w:styleId="ParaBulletIndent2">
    <w:name w:val="Para Bullet Indent 2"/>
    <w:basedOn w:val="ParaBulletIndent"/>
    <w:uiPriority w:val="2"/>
    <w:qFormat/>
    <w:rsid w:val="009B246B"/>
    <w:pPr>
      <w:numPr>
        <w:ilvl w:val="2"/>
      </w:numPr>
      <w:ind w:left="1276"/>
    </w:pPr>
  </w:style>
  <w:style w:type="paragraph" w:customStyle="1" w:styleId="ParaBulletIndent3">
    <w:name w:val="Para Bullet Indent 3"/>
    <w:basedOn w:val="ParaBulletIndent2"/>
    <w:uiPriority w:val="2"/>
    <w:semiHidden/>
    <w:qFormat/>
    <w:rsid w:val="009B246B"/>
    <w:pPr>
      <w:numPr>
        <w:ilvl w:val="3"/>
      </w:numPr>
    </w:pPr>
  </w:style>
  <w:style w:type="paragraph" w:customStyle="1" w:styleId="ParaBulletIndent4">
    <w:name w:val="Para Bullet Indent 4"/>
    <w:basedOn w:val="ParaBulletIndent3"/>
    <w:uiPriority w:val="2"/>
    <w:semiHidden/>
    <w:qFormat/>
    <w:rsid w:val="009B246B"/>
    <w:pPr>
      <w:numPr>
        <w:ilvl w:val="4"/>
      </w:numPr>
    </w:pPr>
  </w:style>
  <w:style w:type="character" w:customStyle="1" w:styleId="apple-converted-space">
    <w:name w:val="apple-converted-space"/>
    <w:basedOn w:val="DefaultParagraphFont"/>
    <w:rsid w:val="007B5B94"/>
  </w:style>
  <w:style w:type="paragraph" w:customStyle="1" w:styleId="paragraph">
    <w:name w:val="paragraph"/>
    <w:basedOn w:val="Normal"/>
    <w:rsid w:val="00875CA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875CAD"/>
  </w:style>
  <w:style w:type="character" w:customStyle="1" w:styleId="normaltextrun">
    <w:name w:val="normaltextrun"/>
    <w:basedOn w:val="DefaultParagraphFont"/>
    <w:rsid w:val="00875CAD"/>
  </w:style>
  <w:style w:type="character" w:customStyle="1" w:styleId="Heading1Char">
    <w:name w:val="Heading 1 Char"/>
    <w:basedOn w:val="DefaultParagraphFont"/>
    <w:link w:val="Heading1"/>
    <w:uiPriority w:val="9"/>
    <w:rsid w:val="00DE0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E0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E06D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E0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E06D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E06D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E06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E06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06DB"/>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6D43C7"/>
    <w:pPr>
      <w:numPr>
        <w:numId w:val="16"/>
      </w:numPr>
    </w:pPr>
  </w:style>
  <w:style w:type="paragraph" w:customStyle="1" w:styleId="p2">
    <w:name w:val="p2"/>
    <w:basedOn w:val="Normal"/>
    <w:rsid w:val="00960CD0"/>
    <w:rPr>
      <w:rFonts w:ascii="Helvetica" w:eastAsia="Times New Roman" w:hAnsi="Helvetica" w:cs="Times New Roman"/>
      <w:color w:val="000000"/>
      <w:kern w:val="0"/>
      <w:sz w:val="18"/>
      <w:szCs w:val="18"/>
      <w:lang w:val="fr-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3436">
      <w:bodyDiv w:val="1"/>
      <w:marLeft w:val="0"/>
      <w:marRight w:val="0"/>
      <w:marTop w:val="0"/>
      <w:marBottom w:val="0"/>
      <w:divBdr>
        <w:top w:val="none" w:sz="0" w:space="0" w:color="auto"/>
        <w:left w:val="none" w:sz="0" w:space="0" w:color="auto"/>
        <w:bottom w:val="none" w:sz="0" w:space="0" w:color="auto"/>
        <w:right w:val="none" w:sz="0" w:space="0" w:color="auto"/>
      </w:divBdr>
    </w:div>
    <w:div w:id="149760998">
      <w:bodyDiv w:val="1"/>
      <w:marLeft w:val="0"/>
      <w:marRight w:val="0"/>
      <w:marTop w:val="0"/>
      <w:marBottom w:val="0"/>
      <w:divBdr>
        <w:top w:val="none" w:sz="0" w:space="0" w:color="auto"/>
        <w:left w:val="none" w:sz="0" w:space="0" w:color="auto"/>
        <w:bottom w:val="none" w:sz="0" w:space="0" w:color="auto"/>
        <w:right w:val="none" w:sz="0" w:space="0" w:color="auto"/>
      </w:divBdr>
    </w:div>
    <w:div w:id="181432276">
      <w:bodyDiv w:val="1"/>
      <w:marLeft w:val="0"/>
      <w:marRight w:val="0"/>
      <w:marTop w:val="0"/>
      <w:marBottom w:val="0"/>
      <w:divBdr>
        <w:top w:val="none" w:sz="0" w:space="0" w:color="auto"/>
        <w:left w:val="none" w:sz="0" w:space="0" w:color="auto"/>
        <w:bottom w:val="none" w:sz="0" w:space="0" w:color="auto"/>
        <w:right w:val="none" w:sz="0" w:space="0" w:color="auto"/>
      </w:divBdr>
    </w:div>
    <w:div w:id="363407617">
      <w:bodyDiv w:val="1"/>
      <w:marLeft w:val="0"/>
      <w:marRight w:val="0"/>
      <w:marTop w:val="0"/>
      <w:marBottom w:val="0"/>
      <w:divBdr>
        <w:top w:val="none" w:sz="0" w:space="0" w:color="auto"/>
        <w:left w:val="none" w:sz="0" w:space="0" w:color="auto"/>
        <w:bottom w:val="none" w:sz="0" w:space="0" w:color="auto"/>
        <w:right w:val="none" w:sz="0" w:space="0" w:color="auto"/>
      </w:divBdr>
    </w:div>
    <w:div w:id="524950448">
      <w:bodyDiv w:val="1"/>
      <w:marLeft w:val="0"/>
      <w:marRight w:val="0"/>
      <w:marTop w:val="0"/>
      <w:marBottom w:val="0"/>
      <w:divBdr>
        <w:top w:val="none" w:sz="0" w:space="0" w:color="auto"/>
        <w:left w:val="none" w:sz="0" w:space="0" w:color="auto"/>
        <w:bottom w:val="none" w:sz="0" w:space="0" w:color="auto"/>
        <w:right w:val="none" w:sz="0" w:space="0" w:color="auto"/>
      </w:divBdr>
    </w:div>
    <w:div w:id="557133007">
      <w:bodyDiv w:val="1"/>
      <w:marLeft w:val="0"/>
      <w:marRight w:val="0"/>
      <w:marTop w:val="0"/>
      <w:marBottom w:val="0"/>
      <w:divBdr>
        <w:top w:val="none" w:sz="0" w:space="0" w:color="auto"/>
        <w:left w:val="none" w:sz="0" w:space="0" w:color="auto"/>
        <w:bottom w:val="none" w:sz="0" w:space="0" w:color="auto"/>
        <w:right w:val="none" w:sz="0" w:space="0" w:color="auto"/>
      </w:divBdr>
    </w:div>
    <w:div w:id="702948632">
      <w:bodyDiv w:val="1"/>
      <w:marLeft w:val="0"/>
      <w:marRight w:val="0"/>
      <w:marTop w:val="0"/>
      <w:marBottom w:val="0"/>
      <w:divBdr>
        <w:top w:val="none" w:sz="0" w:space="0" w:color="auto"/>
        <w:left w:val="none" w:sz="0" w:space="0" w:color="auto"/>
        <w:bottom w:val="none" w:sz="0" w:space="0" w:color="auto"/>
        <w:right w:val="none" w:sz="0" w:space="0" w:color="auto"/>
      </w:divBdr>
    </w:div>
    <w:div w:id="728727313">
      <w:bodyDiv w:val="1"/>
      <w:marLeft w:val="0"/>
      <w:marRight w:val="0"/>
      <w:marTop w:val="0"/>
      <w:marBottom w:val="0"/>
      <w:divBdr>
        <w:top w:val="none" w:sz="0" w:space="0" w:color="auto"/>
        <w:left w:val="none" w:sz="0" w:space="0" w:color="auto"/>
        <w:bottom w:val="none" w:sz="0" w:space="0" w:color="auto"/>
        <w:right w:val="none" w:sz="0" w:space="0" w:color="auto"/>
      </w:divBdr>
      <w:divsChild>
        <w:div w:id="527724427">
          <w:marLeft w:val="0"/>
          <w:marRight w:val="0"/>
          <w:marTop w:val="0"/>
          <w:marBottom w:val="0"/>
          <w:divBdr>
            <w:top w:val="none" w:sz="0" w:space="0" w:color="auto"/>
            <w:left w:val="none" w:sz="0" w:space="0" w:color="auto"/>
            <w:bottom w:val="none" w:sz="0" w:space="0" w:color="auto"/>
            <w:right w:val="none" w:sz="0" w:space="0" w:color="auto"/>
          </w:divBdr>
          <w:divsChild>
            <w:div w:id="49698755">
              <w:marLeft w:val="0"/>
              <w:marRight w:val="0"/>
              <w:marTop w:val="0"/>
              <w:marBottom w:val="0"/>
              <w:divBdr>
                <w:top w:val="none" w:sz="0" w:space="0" w:color="auto"/>
                <w:left w:val="none" w:sz="0" w:space="0" w:color="auto"/>
                <w:bottom w:val="none" w:sz="0" w:space="0" w:color="auto"/>
                <w:right w:val="none" w:sz="0" w:space="0" w:color="auto"/>
              </w:divBdr>
            </w:div>
            <w:div w:id="115219906">
              <w:marLeft w:val="0"/>
              <w:marRight w:val="0"/>
              <w:marTop w:val="0"/>
              <w:marBottom w:val="0"/>
              <w:divBdr>
                <w:top w:val="none" w:sz="0" w:space="0" w:color="auto"/>
                <w:left w:val="none" w:sz="0" w:space="0" w:color="auto"/>
                <w:bottom w:val="none" w:sz="0" w:space="0" w:color="auto"/>
                <w:right w:val="none" w:sz="0" w:space="0" w:color="auto"/>
              </w:divBdr>
            </w:div>
            <w:div w:id="154415568">
              <w:marLeft w:val="0"/>
              <w:marRight w:val="0"/>
              <w:marTop w:val="0"/>
              <w:marBottom w:val="0"/>
              <w:divBdr>
                <w:top w:val="none" w:sz="0" w:space="0" w:color="auto"/>
                <w:left w:val="none" w:sz="0" w:space="0" w:color="auto"/>
                <w:bottom w:val="none" w:sz="0" w:space="0" w:color="auto"/>
                <w:right w:val="none" w:sz="0" w:space="0" w:color="auto"/>
              </w:divBdr>
            </w:div>
            <w:div w:id="159080284">
              <w:marLeft w:val="0"/>
              <w:marRight w:val="0"/>
              <w:marTop w:val="0"/>
              <w:marBottom w:val="0"/>
              <w:divBdr>
                <w:top w:val="none" w:sz="0" w:space="0" w:color="auto"/>
                <w:left w:val="none" w:sz="0" w:space="0" w:color="auto"/>
                <w:bottom w:val="none" w:sz="0" w:space="0" w:color="auto"/>
                <w:right w:val="none" w:sz="0" w:space="0" w:color="auto"/>
              </w:divBdr>
            </w:div>
            <w:div w:id="164715135">
              <w:marLeft w:val="0"/>
              <w:marRight w:val="0"/>
              <w:marTop w:val="0"/>
              <w:marBottom w:val="0"/>
              <w:divBdr>
                <w:top w:val="none" w:sz="0" w:space="0" w:color="auto"/>
                <w:left w:val="none" w:sz="0" w:space="0" w:color="auto"/>
                <w:bottom w:val="none" w:sz="0" w:space="0" w:color="auto"/>
                <w:right w:val="none" w:sz="0" w:space="0" w:color="auto"/>
              </w:divBdr>
            </w:div>
            <w:div w:id="249855953">
              <w:marLeft w:val="0"/>
              <w:marRight w:val="0"/>
              <w:marTop w:val="0"/>
              <w:marBottom w:val="0"/>
              <w:divBdr>
                <w:top w:val="none" w:sz="0" w:space="0" w:color="auto"/>
                <w:left w:val="none" w:sz="0" w:space="0" w:color="auto"/>
                <w:bottom w:val="none" w:sz="0" w:space="0" w:color="auto"/>
                <w:right w:val="none" w:sz="0" w:space="0" w:color="auto"/>
              </w:divBdr>
            </w:div>
            <w:div w:id="425537207">
              <w:marLeft w:val="0"/>
              <w:marRight w:val="0"/>
              <w:marTop w:val="0"/>
              <w:marBottom w:val="0"/>
              <w:divBdr>
                <w:top w:val="none" w:sz="0" w:space="0" w:color="auto"/>
                <w:left w:val="none" w:sz="0" w:space="0" w:color="auto"/>
                <w:bottom w:val="none" w:sz="0" w:space="0" w:color="auto"/>
                <w:right w:val="none" w:sz="0" w:space="0" w:color="auto"/>
              </w:divBdr>
            </w:div>
            <w:div w:id="924611839">
              <w:marLeft w:val="0"/>
              <w:marRight w:val="0"/>
              <w:marTop w:val="0"/>
              <w:marBottom w:val="0"/>
              <w:divBdr>
                <w:top w:val="none" w:sz="0" w:space="0" w:color="auto"/>
                <w:left w:val="none" w:sz="0" w:space="0" w:color="auto"/>
                <w:bottom w:val="none" w:sz="0" w:space="0" w:color="auto"/>
                <w:right w:val="none" w:sz="0" w:space="0" w:color="auto"/>
              </w:divBdr>
            </w:div>
            <w:div w:id="1079525106">
              <w:marLeft w:val="0"/>
              <w:marRight w:val="0"/>
              <w:marTop w:val="0"/>
              <w:marBottom w:val="0"/>
              <w:divBdr>
                <w:top w:val="none" w:sz="0" w:space="0" w:color="auto"/>
                <w:left w:val="none" w:sz="0" w:space="0" w:color="auto"/>
                <w:bottom w:val="none" w:sz="0" w:space="0" w:color="auto"/>
                <w:right w:val="none" w:sz="0" w:space="0" w:color="auto"/>
              </w:divBdr>
            </w:div>
            <w:div w:id="1079643938">
              <w:marLeft w:val="0"/>
              <w:marRight w:val="0"/>
              <w:marTop w:val="0"/>
              <w:marBottom w:val="0"/>
              <w:divBdr>
                <w:top w:val="none" w:sz="0" w:space="0" w:color="auto"/>
                <w:left w:val="none" w:sz="0" w:space="0" w:color="auto"/>
                <w:bottom w:val="none" w:sz="0" w:space="0" w:color="auto"/>
                <w:right w:val="none" w:sz="0" w:space="0" w:color="auto"/>
              </w:divBdr>
            </w:div>
            <w:div w:id="1158617841">
              <w:marLeft w:val="0"/>
              <w:marRight w:val="0"/>
              <w:marTop w:val="0"/>
              <w:marBottom w:val="0"/>
              <w:divBdr>
                <w:top w:val="none" w:sz="0" w:space="0" w:color="auto"/>
                <w:left w:val="none" w:sz="0" w:space="0" w:color="auto"/>
                <w:bottom w:val="none" w:sz="0" w:space="0" w:color="auto"/>
                <w:right w:val="none" w:sz="0" w:space="0" w:color="auto"/>
              </w:divBdr>
            </w:div>
            <w:div w:id="1348361680">
              <w:marLeft w:val="0"/>
              <w:marRight w:val="0"/>
              <w:marTop w:val="0"/>
              <w:marBottom w:val="0"/>
              <w:divBdr>
                <w:top w:val="none" w:sz="0" w:space="0" w:color="auto"/>
                <w:left w:val="none" w:sz="0" w:space="0" w:color="auto"/>
                <w:bottom w:val="none" w:sz="0" w:space="0" w:color="auto"/>
                <w:right w:val="none" w:sz="0" w:space="0" w:color="auto"/>
              </w:divBdr>
            </w:div>
            <w:div w:id="1410467957">
              <w:marLeft w:val="0"/>
              <w:marRight w:val="0"/>
              <w:marTop w:val="0"/>
              <w:marBottom w:val="0"/>
              <w:divBdr>
                <w:top w:val="none" w:sz="0" w:space="0" w:color="auto"/>
                <w:left w:val="none" w:sz="0" w:space="0" w:color="auto"/>
                <w:bottom w:val="none" w:sz="0" w:space="0" w:color="auto"/>
                <w:right w:val="none" w:sz="0" w:space="0" w:color="auto"/>
              </w:divBdr>
            </w:div>
            <w:div w:id="1501000628">
              <w:marLeft w:val="0"/>
              <w:marRight w:val="0"/>
              <w:marTop w:val="0"/>
              <w:marBottom w:val="0"/>
              <w:divBdr>
                <w:top w:val="none" w:sz="0" w:space="0" w:color="auto"/>
                <w:left w:val="none" w:sz="0" w:space="0" w:color="auto"/>
                <w:bottom w:val="none" w:sz="0" w:space="0" w:color="auto"/>
                <w:right w:val="none" w:sz="0" w:space="0" w:color="auto"/>
              </w:divBdr>
            </w:div>
            <w:div w:id="1550339294">
              <w:marLeft w:val="0"/>
              <w:marRight w:val="0"/>
              <w:marTop w:val="0"/>
              <w:marBottom w:val="0"/>
              <w:divBdr>
                <w:top w:val="none" w:sz="0" w:space="0" w:color="auto"/>
                <w:left w:val="none" w:sz="0" w:space="0" w:color="auto"/>
                <w:bottom w:val="none" w:sz="0" w:space="0" w:color="auto"/>
                <w:right w:val="none" w:sz="0" w:space="0" w:color="auto"/>
              </w:divBdr>
            </w:div>
            <w:div w:id="1609048531">
              <w:marLeft w:val="0"/>
              <w:marRight w:val="0"/>
              <w:marTop w:val="0"/>
              <w:marBottom w:val="0"/>
              <w:divBdr>
                <w:top w:val="none" w:sz="0" w:space="0" w:color="auto"/>
                <w:left w:val="none" w:sz="0" w:space="0" w:color="auto"/>
                <w:bottom w:val="none" w:sz="0" w:space="0" w:color="auto"/>
                <w:right w:val="none" w:sz="0" w:space="0" w:color="auto"/>
              </w:divBdr>
            </w:div>
            <w:div w:id="1703240058">
              <w:marLeft w:val="0"/>
              <w:marRight w:val="0"/>
              <w:marTop w:val="0"/>
              <w:marBottom w:val="0"/>
              <w:divBdr>
                <w:top w:val="none" w:sz="0" w:space="0" w:color="auto"/>
                <w:left w:val="none" w:sz="0" w:space="0" w:color="auto"/>
                <w:bottom w:val="none" w:sz="0" w:space="0" w:color="auto"/>
                <w:right w:val="none" w:sz="0" w:space="0" w:color="auto"/>
              </w:divBdr>
            </w:div>
            <w:div w:id="1933007721">
              <w:marLeft w:val="0"/>
              <w:marRight w:val="0"/>
              <w:marTop w:val="0"/>
              <w:marBottom w:val="0"/>
              <w:divBdr>
                <w:top w:val="none" w:sz="0" w:space="0" w:color="auto"/>
                <w:left w:val="none" w:sz="0" w:space="0" w:color="auto"/>
                <w:bottom w:val="none" w:sz="0" w:space="0" w:color="auto"/>
                <w:right w:val="none" w:sz="0" w:space="0" w:color="auto"/>
              </w:divBdr>
            </w:div>
            <w:div w:id="2075545204">
              <w:marLeft w:val="0"/>
              <w:marRight w:val="0"/>
              <w:marTop w:val="0"/>
              <w:marBottom w:val="0"/>
              <w:divBdr>
                <w:top w:val="none" w:sz="0" w:space="0" w:color="auto"/>
                <w:left w:val="none" w:sz="0" w:space="0" w:color="auto"/>
                <w:bottom w:val="none" w:sz="0" w:space="0" w:color="auto"/>
                <w:right w:val="none" w:sz="0" w:space="0" w:color="auto"/>
              </w:divBdr>
            </w:div>
            <w:div w:id="2079933945">
              <w:marLeft w:val="0"/>
              <w:marRight w:val="0"/>
              <w:marTop w:val="0"/>
              <w:marBottom w:val="0"/>
              <w:divBdr>
                <w:top w:val="none" w:sz="0" w:space="0" w:color="auto"/>
                <w:left w:val="none" w:sz="0" w:space="0" w:color="auto"/>
                <w:bottom w:val="none" w:sz="0" w:space="0" w:color="auto"/>
                <w:right w:val="none" w:sz="0" w:space="0" w:color="auto"/>
              </w:divBdr>
            </w:div>
          </w:divsChild>
        </w:div>
        <w:div w:id="776172286">
          <w:marLeft w:val="0"/>
          <w:marRight w:val="0"/>
          <w:marTop w:val="0"/>
          <w:marBottom w:val="0"/>
          <w:divBdr>
            <w:top w:val="none" w:sz="0" w:space="0" w:color="auto"/>
            <w:left w:val="none" w:sz="0" w:space="0" w:color="auto"/>
            <w:bottom w:val="none" w:sz="0" w:space="0" w:color="auto"/>
            <w:right w:val="none" w:sz="0" w:space="0" w:color="auto"/>
          </w:divBdr>
          <w:divsChild>
            <w:div w:id="955260900">
              <w:marLeft w:val="0"/>
              <w:marRight w:val="0"/>
              <w:marTop w:val="0"/>
              <w:marBottom w:val="0"/>
              <w:divBdr>
                <w:top w:val="none" w:sz="0" w:space="0" w:color="auto"/>
                <w:left w:val="none" w:sz="0" w:space="0" w:color="auto"/>
                <w:bottom w:val="none" w:sz="0" w:space="0" w:color="auto"/>
                <w:right w:val="none" w:sz="0" w:space="0" w:color="auto"/>
              </w:divBdr>
            </w:div>
            <w:div w:id="2144501066">
              <w:marLeft w:val="0"/>
              <w:marRight w:val="0"/>
              <w:marTop w:val="0"/>
              <w:marBottom w:val="0"/>
              <w:divBdr>
                <w:top w:val="none" w:sz="0" w:space="0" w:color="auto"/>
                <w:left w:val="none" w:sz="0" w:space="0" w:color="auto"/>
                <w:bottom w:val="none" w:sz="0" w:space="0" w:color="auto"/>
                <w:right w:val="none" w:sz="0" w:space="0" w:color="auto"/>
              </w:divBdr>
            </w:div>
          </w:divsChild>
        </w:div>
        <w:div w:id="802430722">
          <w:marLeft w:val="0"/>
          <w:marRight w:val="0"/>
          <w:marTop w:val="0"/>
          <w:marBottom w:val="0"/>
          <w:divBdr>
            <w:top w:val="none" w:sz="0" w:space="0" w:color="auto"/>
            <w:left w:val="none" w:sz="0" w:space="0" w:color="auto"/>
            <w:bottom w:val="none" w:sz="0" w:space="0" w:color="auto"/>
            <w:right w:val="none" w:sz="0" w:space="0" w:color="auto"/>
          </w:divBdr>
          <w:divsChild>
            <w:div w:id="24260726">
              <w:marLeft w:val="0"/>
              <w:marRight w:val="0"/>
              <w:marTop w:val="0"/>
              <w:marBottom w:val="0"/>
              <w:divBdr>
                <w:top w:val="none" w:sz="0" w:space="0" w:color="auto"/>
                <w:left w:val="none" w:sz="0" w:space="0" w:color="auto"/>
                <w:bottom w:val="none" w:sz="0" w:space="0" w:color="auto"/>
                <w:right w:val="none" w:sz="0" w:space="0" w:color="auto"/>
              </w:divBdr>
            </w:div>
            <w:div w:id="110513026">
              <w:marLeft w:val="0"/>
              <w:marRight w:val="0"/>
              <w:marTop w:val="0"/>
              <w:marBottom w:val="0"/>
              <w:divBdr>
                <w:top w:val="none" w:sz="0" w:space="0" w:color="auto"/>
                <w:left w:val="none" w:sz="0" w:space="0" w:color="auto"/>
                <w:bottom w:val="none" w:sz="0" w:space="0" w:color="auto"/>
                <w:right w:val="none" w:sz="0" w:space="0" w:color="auto"/>
              </w:divBdr>
            </w:div>
            <w:div w:id="114175344">
              <w:marLeft w:val="0"/>
              <w:marRight w:val="0"/>
              <w:marTop w:val="0"/>
              <w:marBottom w:val="0"/>
              <w:divBdr>
                <w:top w:val="none" w:sz="0" w:space="0" w:color="auto"/>
                <w:left w:val="none" w:sz="0" w:space="0" w:color="auto"/>
                <w:bottom w:val="none" w:sz="0" w:space="0" w:color="auto"/>
                <w:right w:val="none" w:sz="0" w:space="0" w:color="auto"/>
              </w:divBdr>
            </w:div>
            <w:div w:id="171382998">
              <w:marLeft w:val="0"/>
              <w:marRight w:val="0"/>
              <w:marTop w:val="0"/>
              <w:marBottom w:val="0"/>
              <w:divBdr>
                <w:top w:val="none" w:sz="0" w:space="0" w:color="auto"/>
                <w:left w:val="none" w:sz="0" w:space="0" w:color="auto"/>
                <w:bottom w:val="none" w:sz="0" w:space="0" w:color="auto"/>
                <w:right w:val="none" w:sz="0" w:space="0" w:color="auto"/>
              </w:divBdr>
            </w:div>
            <w:div w:id="249196776">
              <w:marLeft w:val="0"/>
              <w:marRight w:val="0"/>
              <w:marTop w:val="0"/>
              <w:marBottom w:val="0"/>
              <w:divBdr>
                <w:top w:val="none" w:sz="0" w:space="0" w:color="auto"/>
                <w:left w:val="none" w:sz="0" w:space="0" w:color="auto"/>
                <w:bottom w:val="none" w:sz="0" w:space="0" w:color="auto"/>
                <w:right w:val="none" w:sz="0" w:space="0" w:color="auto"/>
              </w:divBdr>
            </w:div>
            <w:div w:id="430859662">
              <w:marLeft w:val="0"/>
              <w:marRight w:val="0"/>
              <w:marTop w:val="0"/>
              <w:marBottom w:val="0"/>
              <w:divBdr>
                <w:top w:val="none" w:sz="0" w:space="0" w:color="auto"/>
                <w:left w:val="none" w:sz="0" w:space="0" w:color="auto"/>
                <w:bottom w:val="none" w:sz="0" w:space="0" w:color="auto"/>
                <w:right w:val="none" w:sz="0" w:space="0" w:color="auto"/>
              </w:divBdr>
            </w:div>
            <w:div w:id="547187382">
              <w:marLeft w:val="0"/>
              <w:marRight w:val="0"/>
              <w:marTop w:val="0"/>
              <w:marBottom w:val="0"/>
              <w:divBdr>
                <w:top w:val="none" w:sz="0" w:space="0" w:color="auto"/>
                <w:left w:val="none" w:sz="0" w:space="0" w:color="auto"/>
                <w:bottom w:val="none" w:sz="0" w:space="0" w:color="auto"/>
                <w:right w:val="none" w:sz="0" w:space="0" w:color="auto"/>
              </w:divBdr>
            </w:div>
            <w:div w:id="582299294">
              <w:marLeft w:val="0"/>
              <w:marRight w:val="0"/>
              <w:marTop w:val="0"/>
              <w:marBottom w:val="0"/>
              <w:divBdr>
                <w:top w:val="none" w:sz="0" w:space="0" w:color="auto"/>
                <w:left w:val="none" w:sz="0" w:space="0" w:color="auto"/>
                <w:bottom w:val="none" w:sz="0" w:space="0" w:color="auto"/>
                <w:right w:val="none" w:sz="0" w:space="0" w:color="auto"/>
              </w:divBdr>
            </w:div>
            <w:div w:id="587346983">
              <w:marLeft w:val="0"/>
              <w:marRight w:val="0"/>
              <w:marTop w:val="0"/>
              <w:marBottom w:val="0"/>
              <w:divBdr>
                <w:top w:val="none" w:sz="0" w:space="0" w:color="auto"/>
                <w:left w:val="none" w:sz="0" w:space="0" w:color="auto"/>
                <w:bottom w:val="none" w:sz="0" w:space="0" w:color="auto"/>
                <w:right w:val="none" w:sz="0" w:space="0" w:color="auto"/>
              </w:divBdr>
            </w:div>
            <w:div w:id="611479301">
              <w:marLeft w:val="0"/>
              <w:marRight w:val="0"/>
              <w:marTop w:val="0"/>
              <w:marBottom w:val="0"/>
              <w:divBdr>
                <w:top w:val="none" w:sz="0" w:space="0" w:color="auto"/>
                <w:left w:val="none" w:sz="0" w:space="0" w:color="auto"/>
                <w:bottom w:val="none" w:sz="0" w:space="0" w:color="auto"/>
                <w:right w:val="none" w:sz="0" w:space="0" w:color="auto"/>
              </w:divBdr>
            </w:div>
            <w:div w:id="673191431">
              <w:marLeft w:val="0"/>
              <w:marRight w:val="0"/>
              <w:marTop w:val="0"/>
              <w:marBottom w:val="0"/>
              <w:divBdr>
                <w:top w:val="none" w:sz="0" w:space="0" w:color="auto"/>
                <w:left w:val="none" w:sz="0" w:space="0" w:color="auto"/>
                <w:bottom w:val="none" w:sz="0" w:space="0" w:color="auto"/>
                <w:right w:val="none" w:sz="0" w:space="0" w:color="auto"/>
              </w:divBdr>
            </w:div>
            <w:div w:id="739905633">
              <w:marLeft w:val="0"/>
              <w:marRight w:val="0"/>
              <w:marTop w:val="0"/>
              <w:marBottom w:val="0"/>
              <w:divBdr>
                <w:top w:val="none" w:sz="0" w:space="0" w:color="auto"/>
                <w:left w:val="none" w:sz="0" w:space="0" w:color="auto"/>
                <w:bottom w:val="none" w:sz="0" w:space="0" w:color="auto"/>
                <w:right w:val="none" w:sz="0" w:space="0" w:color="auto"/>
              </w:divBdr>
            </w:div>
            <w:div w:id="780106762">
              <w:marLeft w:val="0"/>
              <w:marRight w:val="0"/>
              <w:marTop w:val="0"/>
              <w:marBottom w:val="0"/>
              <w:divBdr>
                <w:top w:val="none" w:sz="0" w:space="0" w:color="auto"/>
                <w:left w:val="none" w:sz="0" w:space="0" w:color="auto"/>
                <w:bottom w:val="none" w:sz="0" w:space="0" w:color="auto"/>
                <w:right w:val="none" w:sz="0" w:space="0" w:color="auto"/>
              </w:divBdr>
            </w:div>
            <w:div w:id="929311662">
              <w:marLeft w:val="0"/>
              <w:marRight w:val="0"/>
              <w:marTop w:val="0"/>
              <w:marBottom w:val="0"/>
              <w:divBdr>
                <w:top w:val="none" w:sz="0" w:space="0" w:color="auto"/>
                <w:left w:val="none" w:sz="0" w:space="0" w:color="auto"/>
                <w:bottom w:val="none" w:sz="0" w:space="0" w:color="auto"/>
                <w:right w:val="none" w:sz="0" w:space="0" w:color="auto"/>
              </w:divBdr>
            </w:div>
            <w:div w:id="1015349952">
              <w:marLeft w:val="0"/>
              <w:marRight w:val="0"/>
              <w:marTop w:val="0"/>
              <w:marBottom w:val="0"/>
              <w:divBdr>
                <w:top w:val="none" w:sz="0" w:space="0" w:color="auto"/>
                <w:left w:val="none" w:sz="0" w:space="0" w:color="auto"/>
                <w:bottom w:val="none" w:sz="0" w:space="0" w:color="auto"/>
                <w:right w:val="none" w:sz="0" w:space="0" w:color="auto"/>
              </w:divBdr>
            </w:div>
            <w:div w:id="1178889695">
              <w:marLeft w:val="0"/>
              <w:marRight w:val="0"/>
              <w:marTop w:val="0"/>
              <w:marBottom w:val="0"/>
              <w:divBdr>
                <w:top w:val="none" w:sz="0" w:space="0" w:color="auto"/>
                <w:left w:val="none" w:sz="0" w:space="0" w:color="auto"/>
                <w:bottom w:val="none" w:sz="0" w:space="0" w:color="auto"/>
                <w:right w:val="none" w:sz="0" w:space="0" w:color="auto"/>
              </w:divBdr>
            </w:div>
            <w:div w:id="1205677462">
              <w:marLeft w:val="0"/>
              <w:marRight w:val="0"/>
              <w:marTop w:val="0"/>
              <w:marBottom w:val="0"/>
              <w:divBdr>
                <w:top w:val="none" w:sz="0" w:space="0" w:color="auto"/>
                <w:left w:val="none" w:sz="0" w:space="0" w:color="auto"/>
                <w:bottom w:val="none" w:sz="0" w:space="0" w:color="auto"/>
                <w:right w:val="none" w:sz="0" w:space="0" w:color="auto"/>
              </w:divBdr>
            </w:div>
            <w:div w:id="1356537071">
              <w:marLeft w:val="0"/>
              <w:marRight w:val="0"/>
              <w:marTop w:val="0"/>
              <w:marBottom w:val="0"/>
              <w:divBdr>
                <w:top w:val="none" w:sz="0" w:space="0" w:color="auto"/>
                <w:left w:val="none" w:sz="0" w:space="0" w:color="auto"/>
                <w:bottom w:val="none" w:sz="0" w:space="0" w:color="auto"/>
                <w:right w:val="none" w:sz="0" w:space="0" w:color="auto"/>
              </w:divBdr>
            </w:div>
            <w:div w:id="1390569706">
              <w:marLeft w:val="0"/>
              <w:marRight w:val="0"/>
              <w:marTop w:val="0"/>
              <w:marBottom w:val="0"/>
              <w:divBdr>
                <w:top w:val="none" w:sz="0" w:space="0" w:color="auto"/>
                <w:left w:val="none" w:sz="0" w:space="0" w:color="auto"/>
                <w:bottom w:val="none" w:sz="0" w:space="0" w:color="auto"/>
                <w:right w:val="none" w:sz="0" w:space="0" w:color="auto"/>
              </w:divBdr>
            </w:div>
            <w:div w:id="1442649920">
              <w:marLeft w:val="0"/>
              <w:marRight w:val="0"/>
              <w:marTop w:val="0"/>
              <w:marBottom w:val="0"/>
              <w:divBdr>
                <w:top w:val="none" w:sz="0" w:space="0" w:color="auto"/>
                <w:left w:val="none" w:sz="0" w:space="0" w:color="auto"/>
                <w:bottom w:val="none" w:sz="0" w:space="0" w:color="auto"/>
                <w:right w:val="none" w:sz="0" w:space="0" w:color="auto"/>
              </w:divBdr>
            </w:div>
            <w:div w:id="1560508974">
              <w:marLeft w:val="0"/>
              <w:marRight w:val="0"/>
              <w:marTop w:val="0"/>
              <w:marBottom w:val="0"/>
              <w:divBdr>
                <w:top w:val="none" w:sz="0" w:space="0" w:color="auto"/>
                <w:left w:val="none" w:sz="0" w:space="0" w:color="auto"/>
                <w:bottom w:val="none" w:sz="0" w:space="0" w:color="auto"/>
                <w:right w:val="none" w:sz="0" w:space="0" w:color="auto"/>
              </w:divBdr>
            </w:div>
            <w:div w:id="1692491693">
              <w:marLeft w:val="0"/>
              <w:marRight w:val="0"/>
              <w:marTop w:val="0"/>
              <w:marBottom w:val="0"/>
              <w:divBdr>
                <w:top w:val="none" w:sz="0" w:space="0" w:color="auto"/>
                <w:left w:val="none" w:sz="0" w:space="0" w:color="auto"/>
                <w:bottom w:val="none" w:sz="0" w:space="0" w:color="auto"/>
                <w:right w:val="none" w:sz="0" w:space="0" w:color="auto"/>
              </w:divBdr>
            </w:div>
            <w:div w:id="1706297675">
              <w:marLeft w:val="0"/>
              <w:marRight w:val="0"/>
              <w:marTop w:val="0"/>
              <w:marBottom w:val="0"/>
              <w:divBdr>
                <w:top w:val="none" w:sz="0" w:space="0" w:color="auto"/>
                <w:left w:val="none" w:sz="0" w:space="0" w:color="auto"/>
                <w:bottom w:val="none" w:sz="0" w:space="0" w:color="auto"/>
                <w:right w:val="none" w:sz="0" w:space="0" w:color="auto"/>
              </w:divBdr>
            </w:div>
            <w:div w:id="1745686252">
              <w:marLeft w:val="0"/>
              <w:marRight w:val="0"/>
              <w:marTop w:val="0"/>
              <w:marBottom w:val="0"/>
              <w:divBdr>
                <w:top w:val="none" w:sz="0" w:space="0" w:color="auto"/>
                <w:left w:val="none" w:sz="0" w:space="0" w:color="auto"/>
                <w:bottom w:val="none" w:sz="0" w:space="0" w:color="auto"/>
                <w:right w:val="none" w:sz="0" w:space="0" w:color="auto"/>
              </w:divBdr>
            </w:div>
            <w:div w:id="1822770913">
              <w:marLeft w:val="0"/>
              <w:marRight w:val="0"/>
              <w:marTop w:val="0"/>
              <w:marBottom w:val="0"/>
              <w:divBdr>
                <w:top w:val="none" w:sz="0" w:space="0" w:color="auto"/>
                <w:left w:val="none" w:sz="0" w:space="0" w:color="auto"/>
                <w:bottom w:val="none" w:sz="0" w:space="0" w:color="auto"/>
                <w:right w:val="none" w:sz="0" w:space="0" w:color="auto"/>
              </w:divBdr>
            </w:div>
            <w:div w:id="1825391373">
              <w:marLeft w:val="0"/>
              <w:marRight w:val="0"/>
              <w:marTop w:val="0"/>
              <w:marBottom w:val="0"/>
              <w:divBdr>
                <w:top w:val="none" w:sz="0" w:space="0" w:color="auto"/>
                <w:left w:val="none" w:sz="0" w:space="0" w:color="auto"/>
                <w:bottom w:val="none" w:sz="0" w:space="0" w:color="auto"/>
                <w:right w:val="none" w:sz="0" w:space="0" w:color="auto"/>
              </w:divBdr>
            </w:div>
            <w:div w:id="1841892862">
              <w:marLeft w:val="0"/>
              <w:marRight w:val="0"/>
              <w:marTop w:val="0"/>
              <w:marBottom w:val="0"/>
              <w:divBdr>
                <w:top w:val="none" w:sz="0" w:space="0" w:color="auto"/>
                <w:left w:val="none" w:sz="0" w:space="0" w:color="auto"/>
                <w:bottom w:val="none" w:sz="0" w:space="0" w:color="auto"/>
                <w:right w:val="none" w:sz="0" w:space="0" w:color="auto"/>
              </w:divBdr>
            </w:div>
            <w:div w:id="2011906049">
              <w:marLeft w:val="0"/>
              <w:marRight w:val="0"/>
              <w:marTop w:val="0"/>
              <w:marBottom w:val="0"/>
              <w:divBdr>
                <w:top w:val="none" w:sz="0" w:space="0" w:color="auto"/>
                <w:left w:val="none" w:sz="0" w:space="0" w:color="auto"/>
                <w:bottom w:val="none" w:sz="0" w:space="0" w:color="auto"/>
                <w:right w:val="none" w:sz="0" w:space="0" w:color="auto"/>
              </w:divBdr>
            </w:div>
            <w:div w:id="21247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9378">
      <w:bodyDiv w:val="1"/>
      <w:marLeft w:val="0"/>
      <w:marRight w:val="0"/>
      <w:marTop w:val="0"/>
      <w:marBottom w:val="0"/>
      <w:divBdr>
        <w:top w:val="none" w:sz="0" w:space="0" w:color="auto"/>
        <w:left w:val="none" w:sz="0" w:space="0" w:color="auto"/>
        <w:bottom w:val="none" w:sz="0" w:space="0" w:color="auto"/>
        <w:right w:val="none" w:sz="0" w:space="0" w:color="auto"/>
      </w:divBdr>
    </w:div>
    <w:div w:id="1161390414">
      <w:bodyDiv w:val="1"/>
      <w:marLeft w:val="0"/>
      <w:marRight w:val="0"/>
      <w:marTop w:val="0"/>
      <w:marBottom w:val="0"/>
      <w:divBdr>
        <w:top w:val="none" w:sz="0" w:space="0" w:color="auto"/>
        <w:left w:val="none" w:sz="0" w:space="0" w:color="auto"/>
        <w:bottom w:val="none" w:sz="0" w:space="0" w:color="auto"/>
        <w:right w:val="none" w:sz="0" w:space="0" w:color="auto"/>
      </w:divBdr>
    </w:div>
    <w:div w:id="1197894266">
      <w:bodyDiv w:val="1"/>
      <w:marLeft w:val="0"/>
      <w:marRight w:val="0"/>
      <w:marTop w:val="0"/>
      <w:marBottom w:val="0"/>
      <w:divBdr>
        <w:top w:val="none" w:sz="0" w:space="0" w:color="auto"/>
        <w:left w:val="none" w:sz="0" w:space="0" w:color="auto"/>
        <w:bottom w:val="none" w:sz="0" w:space="0" w:color="auto"/>
        <w:right w:val="none" w:sz="0" w:space="0" w:color="auto"/>
      </w:divBdr>
    </w:div>
    <w:div w:id="1396510394">
      <w:bodyDiv w:val="1"/>
      <w:marLeft w:val="0"/>
      <w:marRight w:val="0"/>
      <w:marTop w:val="0"/>
      <w:marBottom w:val="0"/>
      <w:divBdr>
        <w:top w:val="none" w:sz="0" w:space="0" w:color="auto"/>
        <w:left w:val="none" w:sz="0" w:space="0" w:color="auto"/>
        <w:bottom w:val="none" w:sz="0" w:space="0" w:color="auto"/>
        <w:right w:val="none" w:sz="0" w:space="0" w:color="auto"/>
      </w:divBdr>
      <w:divsChild>
        <w:div w:id="351878587">
          <w:marLeft w:val="0"/>
          <w:marRight w:val="0"/>
          <w:marTop w:val="0"/>
          <w:marBottom w:val="0"/>
          <w:divBdr>
            <w:top w:val="none" w:sz="0" w:space="0" w:color="auto"/>
            <w:left w:val="none" w:sz="0" w:space="0" w:color="auto"/>
            <w:bottom w:val="none" w:sz="0" w:space="0" w:color="auto"/>
            <w:right w:val="none" w:sz="0" w:space="0" w:color="auto"/>
          </w:divBdr>
          <w:divsChild>
            <w:div w:id="78648567">
              <w:marLeft w:val="0"/>
              <w:marRight w:val="0"/>
              <w:marTop w:val="0"/>
              <w:marBottom w:val="0"/>
              <w:divBdr>
                <w:top w:val="none" w:sz="0" w:space="0" w:color="auto"/>
                <w:left w:val="none" w:sz="0" w:space="0" w:color="auto"/>
                <w:bottom w:val="none" w:sz="0" w:space="0" w:color="auto"/>
                <w:right w:val="none" w:sz="0" w:space="0" w:color="auto"/>
              </w:divBdr>
            </w:div>
            <w:div w:id="455219085">
              <w:marLeft w:val="0"/>
              <w:marRight w:val="0"/>
              <w:marTop w:val="0"/>
              <w:marBottom w:val="0"/>
              <w:divBdr>
                <w:top w:val="none" w:sz="0" w:space="0" w:color="auto"/>
                <w:left w:val="none" w:sz="0" w:space="0" w:color="auto"/>
                <w:bottom w:val="none" w:sz="0" w:space="0" w:color="auto"/>
                <w:right w:val="none" w:sz="0" w:space="0" w:color="auto"/>
              </w:divBdr>
            </w:div>
            <w:div w:id="482234293">
              <w:marLeft w:val="0"/>
              <w:marRight w:val="0"/>
              <w:marTop w:val="0"/>
              <w:marBottom w:val="0"/>
              <w:divBdr>
                <w:top w:val="none" w:sz="0" w:space="0" w:color="auto"/>
                <w:left w:val="none" w:sz="0" w:space="0" w:color="auto"/>
                <w:bottom w:val="none" w:sz="0" w:space="0" w:color="auto"/>
                <w:right w:val="none" w:sz="0" w:space="0" w:color="auto"/>
              </w:divBdr>
            </w:div>
            <w:div w:id="526020079">
              <w:marLeft w:val="0"/>
              <w:marRight w:val="0"/>
              <w:marTop w:val="0"/>
              <w:marBottom w:val="0"/>
              <w:divBdr>
                <w:top w:val="none" w:sz="0" w:space="0" w:color="auto"/>
                <w:left w:val="none" w:sz="0" w:space="0" w:color="auto"/>
                <w:bottom w:val="none" w:sz="0" w:space="0" w:color="auto"/>
                <w:right w:val="none" w:sz="0" w:space="0" w:color="auto"/>
              </w:divBdr>
            </w:div>
            <w:div w:id="636766275">
              <w:marLeft w:val="0"/>
              <w:marRight w:val="0"/>
              <w:marTop w:val="0"/>
              <w:marBottom w:val="0"/>
              <w:divBdr>
                <w:top w:val="none" w:sz="0" w:space="0" w:color="auto"/>
                <w:left w:val="none" w:sz="0" w:space="0" w:color="auto"/>
                <w:bottom w:val="none" w:sz="0" w:space="0" w:color="auto"/>
                <w:right w:val="none" w:sz="0" w:space="0" w:color="auto"/>
              </w:divBdr>
            </w:div>
            <w:div w:id="661861099">
              <w:marLeft w:val="0"/>
              <w:marRight w:val="0"/>
              <w:marTop w:val="0"/>
              <w:marBottom w:val="0"/>
              <w:divBdr>
                <w:top w:val="none" w:sz="0" w:space="0" w:color="auto"/>
                <w:left w:val="none" w:sz="0" w:space="0" w:color="auto"/>
                <w:bottom w:val="none" w:sz="0" w:space="0" w:color="auto"/>
                <w:right w:val="none" w:sz="0" w:space="0" w:color="auto"/>
              </w:divBdr>
            </w:div>
            <w:div w:id="934094751">
              <w:marLeft w:val="0"/>
              <w:marRight w:val="0"/>
              <w:marTop w:val="0"/>
              <w:marBottom w:val="0"/>
              <w:divBdr>
                <w:top w:val="none" w:sz="0" w:space="0" w:color="auto"/>
                <w:left w:val="none" w:sz="0" w:space="0" w:color="auto"/>
                <w:bottom w:val="none" w:sz="0" w:space="0" w:color="auto"/>
                <w:right w:val="none" w:sz="0" w:space="0" w:color="auto"/>
              </w:divBdr>
            </w:div>
            <w:div w:id="968557429">
              <w:marLeft w:val="0"/>
              <w:marRight w:val="0"/>
              <w:marTop w:val="0"/>
              <w:marBottom w:val="0"/>
              <w:divBdr>
                <w:top w:val="none" w:sz="0" w:space="0" w:color="auto"/>
                <w:left w:val="none" w:sz="0" w:space="0" w:color="auto"/>
                <w:bottom w:val="none" w:sz="0" w:space="0" w:color="auto"/>
                <w:right w:val="none" w:sz="0" w:space="0" w:color="auto"/>
              </w:divBdr>
            </w:div>
            <w:div w:id="1028602573">
              <w:marLeft w:val="0"/>
              <w:marRight w:val="0"/>
              <w:marTop w:val="0"/>
              <w:marBottom w:val="0"/>
              <w:divBdr>
                <w:top w:val="none" w:sz="0" w:space="0" w:color="auto"/>
                <w:left w:val="none" w:sz="0" w:space="0" w:color="auto"/>
                <w:bottom w:val="none" w:sz="0" w:space="0" w:color="auto"/>
                <w:right w:val="none" w:sz="0" w:space="0" w:color="auto"/>
              </w:divBdr>
            </w:div>
            <w:div w:id="1092899335">
              <w:marLeft w:val="0"/>
              <w:marRight w:val="0"/>
              <w:marTop w:val="0"/>
              <w:marBottom w:val="0"/>
              <w:divBdr>
                <w:top w:val="none" w:sz="0" w:space="0" w:color="auto"/>
                <w:left w:val="none" w:sz="0" w:space="0" w:color="auto"/>
                <w:bottom w:val="none" w:sz="0" w:space="0" w:color="auto"/>
                <w:right w:val="none" w:sz="0" w:space="0" w:color="auto"/>
              </w:divBdr>
            </w:div>
            <w:div w:id="1161971733">
              <w:marLeft w:val="0"/>
              <w:marRight w:val="0"/>
              <w:marTop w:val="0"/>
              <w:marBottom w:val="0"/>
              <w:divBdr>
                <w:top w:val="none" w:sz="0" w:space="0" w:color="auto"/>
                <w:left w:val="none" w:sz="0" w:space="0" w:color="auto"/>
                <w:bottom w:val="none" w:sz="0" w:space="0" w:color="auto"/>
                <w:right w:val="none" w:sz="0" w:space="0" w:color="auto"/>
              </w:divBdr>
            </w:div>
            <w:div w:id="1295209508">
              <w:marLeft w:val="0"/>
              <w:marRight w:val="0"/>
              <w:marTop w:val="0"/>
              <w:marBottom w:val="0"/>
              <w:divBdr>
                <w:top w:val="none" w:sz="0" w:space="0" w:color="auto"/>
                <w:left w:val="none" w:sz="0" w:space="0" w:color="auto"/>
                <w:bottom w:val="none" w:sz="0" w:space="0" w:color="auto"/>
                <w:right w:val="none" w:sz="0" w:space="0" w:color="auto"/>
              </w:divBdr>
            </w:div>
            <w:div w:id="1320575312">
              <w:marLeft w:val="0"/>
              <w:marRight w:val="0"/>
              <w:marTop w:val="0"/>
              <w:marBottom w:val="0"/>
              <w:divBdr>
                <w:top w:val="none" w:sz="0" w:space="0" w:color="auto"/>
                <w:left w:val="none" w:sz="0" w:space="0" w:color="auto"/>
                <w:bottom w:val="none" w:sz="0" w:space="0" w:color="auto"/>
                <w:right w:val="none" w:sz="0" w:space="0" w:color="auto"/>
              </w:divBdr>
            </w:div>
            <w:div w:id="1422876626">
              <w:marLeft w:val="0"/>
              <w:marRight w:val="0"/>
              <w:marTop w:val="0"/>
              <w:marBottom w:val="0"/>
              <w:divBdr>
                <w:top w:val="none" w:sz="0" w:space="0" w:color="auto"/>
                <w:left w:val="none" w:sz="0" w:space="0" w:color="auto"/>
                <w:bottom w:val="none" w:sz="0" w:space="0" w:color="auto"/>
                <w:right w:val="none" w:sz="0" w:space="0" w:color="auto"/>
              </w:divBdr>
            </w:div>
            <w:div w:id="1686403944">
              <w:marLeft w:val="0"/>
              <w:marRight w:val="0"/>
              <w:marTop w:val="0"/>
              <w:marBottom w:val="0"/>
              <w:divBdr>
                <w:top w:val="none" w:sz="0" w:space="0" w:color="auto"/>
                <w:left w:val="none" w:sz="0" w:space="0" w:color="auto"/>
                <w:bottom w:val="none" w:sz="0" w:space="0" w:color="auto"/>
                <w:right w:val="none" w:sz="0" w:space="0" w:color="auto"/>
              </w:divBdr>
            </w:div>
            <w:div w:id="1748725888">
              <w:marLeft w:val="0"/>
              <w:marRight w:val="0"/>
              <w:marTop w:val="0"/>
              <w:marBottom w:val="0"/>
              <w:divBdr>
                <w:top w:val="none" w:sz="0" w:space="0" w:color="auto"/>
                <w:left w:val="none" w:sz="0" w:space="0" w:color="auto"/>
                <w:bottom w:val="none" w:sz="0" w:space="0" w:color="auto"/>
                <w:right w:val="none" w:sz="0" w:space="0" w:color="auto"/>
              </w:divBdr>
            </w:div>
            <w:div w:id="1768192380">
              <w:marLeft w:val="0"/>
              <w:marRight w:val="0"/>
              <w:marTop w:val="0"/>
              <w:marBottom w:val="0"/>
              <w:divBdr>
                <w:top w:val="none" w:sz="0" w:space="0" w:color="auto"/>
                <w:left w:val="none" w:sz="0" w:space="0" w:color="auto"/>
                <w:bottom w:val="none" w:sz="0" w:space="0" w:color="auto"/>
                <w:right w:val="none" w:sz="0" w:space="0" w:color="auto"/>
              </w:divBdr>
            </w:div>
            <w:div w:id="1994602873">
              <w:marLeft w:val="0"/>
              <w:marRight w:val="0"/>
              <w:marTop w:val="0"/>
              <w:marBottom w:val="0"/>
              <w:divBdr>
                <w:top w:val="none" w:sz="0" w:space="0" w:color="auto"/>
                <w:left w:val="none" w:sz="0" w:space="0" w:color="auto"/>
                <w:bottom w:val="none" w:sz="0" w:space="0" w:color="auto"/>
                <w:right w:val="none" w:sz="0" w:space="0" w:color="auto"/>
              </w:divBdr>
            </w:div>
            <w:div w:id="2053964149">
              <w:marLeft w:val="0"/>
              <w:marRight w:val="0"/>
              <w:marTop w:val="0"/>
              <w:marBottom w:val="0"/>
              <w:divBdr>
                <w:top w:val="none" w:sz="0" w:space="0" w:color="auto"/>
                <w:left w:val="none" w:sz="0" w:space="0" w:color="auto"/>
                <w:bottom w:val="none" w:sz="0" w:space="0" w:color="auto"/>
                <w:right w:val="none" w:sz="0" w:space="0" w:color="auto"/>
              </w:divBdr>
            </w:div>
            <w:div w:id="2102141436">
              <w:marLeft w:val="0"/>
              <w:marRight w:val="0"/>
              <w:marTop w:val="0"/>
              <w:marBottom w:val="0"/>
              <w:divBdr>
                <w:top w:val="none" w:sz="0" w:space="0" w:color="auto"/>
                <w:left w:val="none" w:sz="0" w:space="0" w:color="auto"/>
                <w:bottom w:val="none" w:sz="0" w:space="0" w:color="auto"/>
                <w:right w:val="none" w:sz="0" w:space="0" w:color="auto"/>
              </w:divBdr>
            </w:div>
          </w:divsChild>
        </w:div>
        <w:div w:id="1591499683">
          <w:marLeft w:val="0"/>
          <w:marRight w:val="0"/>
          <w:marTop w:val="0"/>
          <w:marBottom w:val="0"/>
          <w:divBdr>
            <w:top w:val="none" w:sz="0" w:space="0" w:color="auto"/>
            <w:left w:val="none" w:sz="0" w:space="0" w:color="auto"/>
            <w:bottom w:val="none" w:sz="0" w:space="0" w:color="auto"/>
            <w:right w:val="none" w:sz="0" w:space="0" w:color="auto"/>
          </w:divBdr>
          <w:divsChild>
            <w:div w:id="33504693">
              <w:marLeft w:val="0"/>
              <w:marRight w:val="0"/>
              <w:marTop w:val="0"/>
              <w:marBottom w:val="0"/>
              <w:divBdr>
                <w:top w:val="none" w:sz="0" w:space="0" w:color="auto"/>
                <w:left w:val="none" w:sz="0" w:space="0" w:color="auto"/>
                <w:bottom w:val="none" w:sz="0" w:space="0" w:color="auto"/>
                <w:right w:val="none" w:sz="0" w:space="0" w:color="auto"/>
              </w:divBdr>
            </w:div>
            <w:div w:id="65693950">
              <w:marLeft w:val="0"/>
              <w:marRight w:val="0"/>
              <w:marTop w:val="0"/>
              <w:marBottom w:val="0"/>
              <w:divBdr>
                <w:top w:val="none" w:sz="0" w:space="0" w:color="auto"/>
                <w:left w:val="none" w:sz="0" w:space="0" w:color="auto"/>
                <w:bottom w:val="none" w:sz="0" w:space="0" w:color="auto"/>
                <w:right w:val="none" w:sz="0" w:space="0" w:color="auto"/>
              </w:divBdr>
            </w:div>
            <w:div w:id="83183709">
              <w:marLeft w:val="0"/>
              <w:marRight w:val="0"/>
              <w:marTop w:val="0"/>
              <w:marBottom w:val="0"/>
              <w:divBdr>
                <w:top w:val="none" w:sz="0" w:space="0" w:color="auto"/>
                <w:left w:val="none" w:sz="0" w:space="0" w:color="auto"/>
                <w:bottom w:val="none" w:sz="0" w:space="0" w:color="auto"/>
                <w:right w:val="none" w:sz="0" w:space="0" w:color="auto"/>
              </w:divBdr>
            </w:div>
            <w:div w:id="236785814">
              <w:marLeft w:val="0"/>
              <w:marRight w:val="0"/>
              <w:marTop w:val="0"/>
              <w:marBottom w:val="0"/>
              <w:divBdr>
                <w:top w:val="none" w:sz="0" w:space="0" w:color="auto"/>
                <w:left w:val="none" w:sz="0" w:space="0" w:color="auto"/>
                <w:bottom w:val="none" w:sz="0" w:space="0" w:color="auto"/>
                <w:right w:val="none" w:sz="0" w:space="0" w:color="auto"/>
              </w:divBdr>
            </w:div>
            <w:div w:id="260649163">
              <w:marLeft w:val="0"/>
              <w:marRight w:val="0"/>
              <w:marTop w:val="0"/>
              <w:marBottom w:val="0"/>
              <w:divBdr>
                <w:top w:val="none" w:sz="0" w:space="0" w:color="auto"/>
                <w:left w:val="none" w:sz="0" w:space="0" w:color="auto"/>
                <w:bottom w:val="none" w:sz="0" w:space="0" w:color="auto"/>
                <w:right w:val="none" w:sz="0" w:space="0" w:color="auto"/>
              </w:divBdr>
            </w:div>
            <w:div w:id="332924654">
              <w:marLeft w:val="0"/>
              <w:marRight w:val="0"/>
              <w:marTop w:val="0"/>
              <w:marBottom w:val="0"/>
              <w:divBdr>
                <w:top w:val="none" w:sz="0" w:space="0" w:color="auto"/>
                <w:left w:val="none" w:sz="0" w:space="0" w:color="auto"/>
                <w:bottom w:val="none" w:sz="0" w:space="0" w:color="auto"/>
                <w:right w:val="none" w:sz="0" w:space="0" w:color="auto"/>
              </w:divBdr>
            </w:div>
            <w:div w:id="430663264">
              <w:marLeft w:val="0"/>
              <w:marRight w:val="0"/>
              <w:marTop w:val="0"/>
              <w:marBottom w:val="0"/>
              <w:divBdr>
                <w:top w:val="none" w:sz="0" w:space="0" w:color="auto"/>
                <w:left w:val="none" w:sz="0" w:space="0" w:color="auto"/>
                <w:bottom w:val="none" w:sz="0" w:space="0" w:color="auto"/>
                <w:right w:val="none" w:sz="0" w:space="0" w:color="auto"/>
              </w:divBdr>
            </w:div>
            <w:div w:id="438986399">
              <w:marLeft w:val="0"/>
              <w:marRight w:val="0"/>
              <w:marTop w:val="0"/>
              <w:marBottom w:val="0"/>
              <w:divBdr>
                <w:top w:val="none" w:sz="0" w:space="0" w:color="auto"/>
                <w:left w:val="none" w:sz="0" w:space="0" w:color="auto"/>
                <w:bottom w:val="none" w:sz="0" w:space="0" w:color="auto"/>
                <w:right w:val="none" w:sz="0" w:space="0" w:color="auto"/>
              </w:divBdr>
            </w:div>
            <w:div w:id="504632829">
              <w:marLeft w:val="0"/>
              <w:marRight w:val="0"/>
              <w:marTop w:val="0"/>
              <w:marBottom w:val="0"/>
              <w:divBdr>
                <w:top w:val="none" w:sz="0" w:space="0" w:color="auto"/>
                <w:left w:val="none" w:sz="0" w:space="0" w:color="auto"/>
                <w:bottom w:val="none" w:sz="0" w:space="0" w:color="auto"/>
                <w:right w:val="none" w:sz="0" w:space="0" w:color="auto"/>
              </w:divBdr>
            </w:div>
            <w:div w:id="551696292">
              <w:marLeft w:val="0"/>
              <w:marRight w:val="0"/>
              <w:marTop w:val="0"/>
              <w:marBottom w:val="0"/>
              <w:divBdr>
                <w:top w:val="none" w:sz="0" w:space="0" w:color="auto"/>
                <w:left w:val="none" w:sz="0" w:space="0" w:color="auto"/>
                <w:bottom w:val="none" w:sz="0" w:space="0" w:color="auto"/>
                <w:right w:val="none" w:sz="0" w:space="0" w:color="auto"/>
              </w:divBdr>
            </w:div>
            <w:div w:id="555170184">
              <w:marLeft w:val="0"/>
              <w:marRight w:val="0"/>
              <w:marTop w:val="0"/>
              <w:marBottom w:val="0"/>
              <w:divBdr>
                <w:top w:val="none" w:sz="0" w:space="0" w:color="auto"/>
                <w:left w:val="none" w:sz="0" w:space="0" w:color="auto"/>
                <w:bottom w:val="none" w:sz="0" w:space="0" w:color="auto"/>
                <w:right w:val="none" w:sz="0" w:space="0" w:color="auto"/>
              </w:divBdr>
            </w:div>
            <w:div w:id="557977598">
              <w:marLeft w:val="0"/>
              <w:marRight w:val="0"/>
              <w:marTop w:val="0"/>
              <w:marBottom w:val="0"/>
              <w:divBdr>
                <w:top w:val="none" w:sz="0" w:space="0" w:color="auto"/>
                <w:left w:val="none" w:sz="0" w:space="0" w:color="auto"/>
                <w:bottom w:val="none" w:sz="0" w:space="0" w:color="auto"/>
                <w:right w:val="none" w:sz="0" w:space="0" w:color="auto"/>
              </w:divBdr>
            </w:div>
            <w:div w:id="598368644">
              <w:marLeft w:val="0"/>
              <w:marRight w:val="0"/>
              <w:marTop w:val="0"/>
              <w:marBottom w:val="0"/>
              <w:divBdr>
                <w:top w:val="none" w:sz="0" w:space="0" w:color="auto"/>
                <w:left w:val="none" w:sz="0" w:space="0" w:color="auto"/>
                <w:bottom w:val="none" w:sz="0" w:space="0" w:color="auto"/>
                <w:right w:val="none" w:sz="0" w:space="0" w:color="auto"/>
              </w:divBdr>
            </w:div>
            <w:div w:id="611015131">
              <w:marLeft w:val="0"/>
              <w:marRight w:val="0"/>
              <w:marTop w:val="0"/>
              <w:marBottom w:val="0"/>
              <w:divBdr>
                <w:top w:val="none" w:sz="0" w:space="0" w:color="auto"/>
                <w:left w:val="none" w:sz="0" w:space="0" w:color="auto"/>
                <w:bottom w:val="none" w:sz="0" w:space="0" w:color="auto"/>
                <w:right w:val="none" w:sz="0" w:space="0" w:color="auto"/>
              </w:divBdr>
            </w:div>
            <w:div w:id="629014953">
              <w:marLeft w:val="0"/>
              <w:marRight w:val="0"/>
              <w:marTop w:val="0"/>
              <w:marBottom w:val="0"/>
              <w:divBdr>
                <w:top w:val="none" w:sz="0" w:space="0" w:color="auto"/>
                <w:left w:val="none" w:sz="0" w:space="0" w:color="auto"/>
                <w:bottom w:val="none" w:sz="0" w:space="0" w:color="auto"/>
                <w:right w:val="none" w:sz="0" w:space="0" w:color="auto"/>
              </w:divBdr>
            </w:div>
            <w:div w:id="633608203">
              <w:marLeft w:val="0"/>
              <w:marRight w:val="0"/>
              <w:marTop w:val="0"/>
              <w:marBottom w:val="0"/>
              <w:divBdr>
                <w:top w:val="none" w:sz="0" w:space="0" w:color="auto"/>
                <w:left w:val="none" w:sz="0" w:space="0" w:color="auto"/>
                <w:bottom w:val="none" w:sz="0" w:space="0" w:color="auto"/>
                <w:right w:val="none" w:sz="0" w:space="0" w:color="auto"/>
              </w:divBdr>
            </w:div>
            <w:div w:id="640811139">
              <w:marLeft w:val="0"/>
              <w:marRight w:val="0"/>
              <w:marTop w:val="0"/>
              <w:marBottom w:val="0"/>
              <w:divBdr>
                <w:top w:val="none" w:sz="0" w:space="0" w:color="auto"/>
                <w:left w:val="none" w:sz="0" w:space="0" w:color="auto"/>
                <w:bottom w:val="none" w:sz="0" w:space="0" w:color="auto"/>
                <w:right w:val="none" w:sz="0" w:space="0" w:color="auto"/>
              </w:divBdr>
            </w:div>
            <w:div w:id="977761988">
              <w:marLeft w:val="0"/>
              <w:marRight w:val="0"/>
              <w:marTop w:val="0"/>
              <w:marBottom w:val="0"/>
              <w:divBdr>
                <w:top w:val="none" w:sz="0" w:space="0" w:color="auto"/>
                <w:left w:val="none" w:sz="0" w:space="0" w:color="auto"/>
                <w:bottom w:val="none" w:sz="0" w:space="0" w:color="auto"/>
                <w:right w:val="none" w:sz="0" w:space="0" w:color="auto"/>
              </w:divBdr>
            </w:div>
            <w:div w:id="1002470056">
              <w:marLeft w:val="0"/>
              <w:marRight w:val="0"/>
              <w:marTop w:val="0"/>
              <w:marBottom w:val="0"/>
              <w:divBdr>
                <w:top w:val="none" w:sz="0" w:space="0" w:color="auto"/>
                <w:left w:val="none" w:sz="0" w:space="0" w:color="auto"/>
                <w:bottom w:val="none" w:sz="0" w:space="0" w:color="auto"/>
                <w:right w:val="none" w:sz="0" w:space="0" w:color="auto"/>
              </w:divBdr>
            </w:div>
            <w:div w:id="1062867509">
              <w:marLeft w:val="0"/>
              <w:marRight w:val="0"/>
              <w:marTop w:val="0"/>
              <w:marBottom w:val="0"/>
              <w:divBdr>
                <w:top w:val="none" w:sz="0" w:space="0" w:color="auto"/>
                <w:left w:val="none" w:sz="0" w:space="0" w:color="auto"/>
                <w:bottom w:val="none" w:sz="0" w:space="0" w:color="auto"/>
                <w:right w:val="none" w:sz="0" w:space="0" w:color="auto"/>
              </w:divBdr>
            </w:div>
            <w:div w:id="1179781799">
              <w:marLeft w:val="0"/>
              <w:marRight w:val="0"/>
              <w:marTop w:val="0"/>
              <w:marBottom w:val="0"/>
              <w:divBdr>
                <w:top w:val="none" w:sz="0" w:space="0" w:color="auto"/>
                <w:left w:val="none" w:sz="0" w:space="0" w:color="auto"/>
                <w:bottom w:val="none" w:sz="0" w:space="0" w:color="auto"/>
                <w:right w:val="none" w:sz="0" w:space="0" w:color="auto"/>
              </w:divBdr>
            </w:div>
            <w:div w:id="1549222468">
              <w:marLeft w:val="0"/>
              <w:marRight w:val="0"/>
              <w:marTop w:val="0"/>
              <w:marBottom w:val="0"/>
              <w:divBdr>
                <w:top w:val="none" w:sz="0" w:space="0" w:color="auto"/>
                <w:left w:val="none" w:sz="0" w:space="0" w:color="auto"/>
                <w:bottom w:val="none" w:sz="0" w:space="0" w:color="auto"/>
                <w:right w:val="none" w:sz="0" w:space="0" w:color="auto"/>
              </w:divBdr>
            </w:div>
            <w:div w:id="1598052548">
              <w:marLeft w:val="0"/>
              <w:marRight w:val="0"/>
              <w:marTop w:val="0"/>
              <w:marBottom w:val="0"/>
              <w:divBdr>
                <w:top w:val="none" w:sz="0" w:space="0" w:color="auto"/>
                <w:left w:val="none" w:sz="0" w:space="0" w:color="auto"/>
                <w:bottom w:val="none" w:sz="0" w:space="0" w:color="auto"/>
                <w:right w:val="none" w:sz="0" w:space="0" w:color="auto"/>
              </w:divBdr>
            </w:div>
            <w:div w:id="1806197163">
              <w:marLeft w:val="0"/>
              <w:marRight w:val="0"/>
              <w:marTop w:val="0"/>
              <w:marBottom w:val="0"/>
              <w:divBdr>
                <w:top w:val="none" w:sz="0" w:space="0" w:color="auto"/>
                <w:left w:val="none" w:sz="0" w:space="0" w:color="auto"/>
                <w:bottom w:val="none" w:sz="0" w:space="0" w:color="auto"/>
                <w:right w:val="none" w:sz="0" w:space="0" w:color="auto"/>
              </w:divBdr>
            </w:div>
            <w:div w:id="1857886180">
              <w:marLeft w:val="0"/>
              <w:marRight w:val="0"/>
              <w:marTop w:val="0"/>
              <w:marBottom w:val="0"/>
              <w:divBdr>
                <w:top w:val="none" w:sz="0" w:space="0" w:color="auto"/>
                <w:left w:val="none" w:sz="0" w:space="0" w:color="auto"/>
                <w:bottom w:val="none" w:sz="0" w:space="0" w:color="auto"/>
                <w:right w:val="none" w:sz="0" w:space="0" w:color="auto"/>
              </w:divBdr>
            </w:div>
            <w:div w:id="1990743344">
              <w:marLeft w:val="0"/>
              <w:marRight w:val="0"/>
              <w:marTop w:val="0"/>
              <w:marBottom w:val="0"/>
              <w:divBdr>
                <w:top w:val="none" w:sz="0" w:space="0" w:color="auto"/>
                <w:left w:val="none" w:sz="0" w:space="0" w:color="auto"/>
                <w:bottom w:val="none" w:sz="0" w:space="0" w:color="auto"/>
                <w:right w:val="none" w:sz="0" w:space="0" w:color="auto"/>
              </w:divBdr>
            </w:div>
            <w:div w:id="2018648971">
              <w:marLeft w:val="0"/>
              <w:marRight w:val="0"/>
              <w:marTop w:val="0"/>
              <w:marBottom w:val="0"/>
              <w:divBdr>
                <w:top w:val="none" w:sz="0" w:space="0" w:color="auto"/>
                <w:left w:val="none" w:sz="0" w:space="0" w:color="auto"/>
                <w:bottom w:val="none" w:sz="0" w:space="0" w:color="auto"/>
                <w:right w:val="none" w:sz="0" w:space="0" w:color="auto"/>
              </w:divBdr>
            </w:div>
            <w:div w:id="2040423081">
              <w:marLeft w:val="0"/>
              <w:marRight w:val="0"/>
              <w:marTop w:val="0"/>
              <w:marBottom w:val="0"/>
              <w:divBdr>
                <w:top w:val="none" w:sz="0" w:space="0" w:color="auto"/>
                <w:left w:val="none" w:sz="0" w:space="0" w:color="auto"/>
                <w:bottom w:val="none" w:sz="0" w:space="0" w:color="auto"/>
                <w:right w:val="none" w:sz="0" w:space="0" w:color="auto"/>
              </w:divBdr>
            </w:div>
            <w:div w:id="2053724384">
              <w:marLeft w:val="0"/>
              <w:marRight w:val="0"/>
              <w:marTop w:val="0"/>
              <w:marBottom w:val="0"/>
              <w:divBdr>
                <w:top w:val="none" w:sz="0" w:space="0" w:color="auto"/>
                <w:left w:val="none" w:sz="0" w:space="0" w:color="auto"/>
                <w:bottom w:val="none" w:sz="0" w:space="0" w:color="auto"/>
                <w:right w:val="none" w:sz="0" w:space="0" w:color="auto"/>
              </w:divBdr>
            </w:div>
          </w:divsChild>
        </w:div>
        <w:div w:id="2032950307">
          <w:marLeft w:val="0"/>
          <w:marRight w:val="0"/>
          <w:marTop w:val="0"/>
          <w:marBottom w:val="0"/>
          <w:divBdr>
            <w:top w:val="none" w:sz="0" w:space="0" w:color="auto"/>
            <w:left w:val="none" w:sz="0" w:space="0" w:color="auto"/>
            <w:bottom w:val="none" w:sz="0" w:space="0" w:color="auto"/>
            <w:right w:val="none" w:sz="0" w:space="0" w:color="auto"/>
          </w:divBdr>
          <w:divsChild>
            <w:div w:id="1248808484">
              <w:marLeft w:val="0"/>
              <w:marRight w:val="0"/>
              <w:marTop w:val="0"/>
              <w:marBottom w:val="0"/>
              <w:divBdr>
                <w:top w:val="none" w:sz="0" w:space="0" w:color="auto"/>
                <w:left w:val="none" w:sz="0" w:space="0" w:color="auto"/>
                <w:bottom w:val="none" w:sz="0" w:space="0" w:color="auto"/>
                <w:right w:val="none" w:sz="0" w:space="0" w:color="auto"/>
              </w:divBdr>
            </w:div>
            <w:div w:id="15112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8397">
      <w:bodyDiv w:val="1"/>
      <w:marLeft w:val="0"/>
      <w:marRight w:val="0"/>
      <w:marTop w:val="0"/>
      <w:marBottom w:val="0"/>
      <w:divBdr>
        <w:top w:val="none" w:sz="0" w:space="0" w:color="auto"/>
        <w:left w:val="none" w:sz="0" w:space="0" w:color="auto"/>
        <w:bottom w:val="none" w:sz="0" w:space="0" w:color="auto"/>
        <w:right w:val="none" w:sz="0" w:space="0" w:color="auto"/>
      </w:divBdr>
    </w:div>
    <w:div w:id="1458182673">
      <w:bodyDiv w:val="1"/>
      <w:marLeft w:val="0"/>
      <w:marRight w:val="0"/>
      <w:marTop w:val="0"/>
      <w:marBottom w:val="0"/>
      <w:divBdr>
        <w:top w:val="none" w:sz="0" w:space="0" w:color="auto"/>
        <w:left w:val="none" w:sz="0" w:space="0" w:color="auto"/>
        <w:bottom w:val="none" w:sz="0" w:space="0" w:color="auto"/>
        <w:right w:val="none" w:sz="0" w:space="0" w:color="auto"/>
      </w:divBdr>
    </w:div>
    <w:div w:id="1607496248">
      <w:bodyDiv w:val="1"/>
      <w:marLeft w:val="0"/>
      <w:marRight w:val="0"/>
      <w:marTop w:val="0"/>
      <w:marBottom w:val="0"/>
      <w:divBdr>
        <w:top w:val="none" w:sz="0" w:space="0" w:color="auto"/>
        <w:left w:val="none" w:sz="0" w:space="0" w:color="auto"/>
        <w:bottom w:val="none" w:sz="0" w:space="0" w:color="auto"/>
        <w:right w:val="none" w:sz="0" w:space="0" w:color="auto"/>
      </w:divBdr>
    </w:div>
    <w:div w:id="1677268949">
      <w:bodyDiv w:val="1"/>
      <w:marLeft w:val="0"/>
      <w:marRight w:val="0"/>
      <w:marTop w:val="0"/>
      <w:marBottom w:val="0"/>
      <w:divBdr>
        <w:top w:val="none" w:sz="0" w:space="0" w:color="auto"/>
        <w:left w:val="none" w:sz="0" w:space="0" w:color="auto"/>
        <w:bottom w:val="none" w:sz="0" w:space="0" w:color="auto"/>
        <w:right w:val="none" w:sz="0" w:space="0" w:color="auto"/>
      </w:divBdr>
    </w:div>
    <w:div w:id="1701005885">
      <w:bodyDiv w:val="1"/>
      <w:marLeft w:val="0"/>
      <w:marRight w:val="0"/>
      <w:marTop w:val="0"/>
      <w:marBottom w:val="0"/>
      <w:divBdr>
        <w:top w:val="none" w:sz="0" w:space="0" w:color="auto"/>
        <w:left w:val="none" w:sz="0" w:space="0" w:color="auto"/>
        <w:bottom w:val="none" w:sz="0" w:space="0" w:color="auto"/>
        <w:right w:val="none" w:sz="0" w:space="0" w:color="auto"/>
      </w:divBdr>
    </w:div>
    <w:div w:id="1822692561">
      <w:bodyDiv w:val="1"/>
      <w:marLeft w:val="0"/>
      <w:marRight w:val="0"/>
      <w:marTop w:val="0"/>
      <w:marBottom w:val="0"/>
      <w:divBdr>
        <w:top w:val="none" w:sz="0" w:space="0" w:color="auto"/>
        <w:left w:val="none" w:sz="0" w:space="0" w:color="auto"/>
        <w:bottom w:val="none" w:sz="0" w:space="0" w:color="auto"/>
        <w:right w:val="none" w:sz="0" w:space="0" w:color="auto"/>
      </w:divBdr>
    </w:div>
    <w:div w:id="20586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retariat@europex.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ex.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0a29ea-71f8-41fc-a5f6-5f1ad2e5a016">
      <Terms xmlns="http://schemas.microsoft.com/office/infopath/2007/PartnerControls"/>
    </lcf76f155ced4ddcb4097134ff3c332f>
    <TaxCatchAll xmlns="eadeffa9-c60d-446f-a6a1-c28433f515e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6866D255C56D445B6414C83E8C8816B" ma:contentTypeVersion="13" ma:contentTypeDescription="Een nieuw document maken." ma:contentTypeScope="" ma:versionID="1eede70c52d905c5fb560d6adbc52b97">
  <xsd:schema xmlns:xsd="http://www.w3.org/2001/XMLSchema" xmlns:xs="http://www.w3.org/2001/XMLSchema" xmlns:p="http://schemas.microsoft.com/office/2006/metadata/properties" xmlns:ns2="eadeffa9-c60d-446f-a6a1-c28433f515e1" xmlns:ns3="d90a29ea-71f8-41fc-a5f6-5f1ad2e5a016" targetNamespace="http://schemas.microsoft.com/office/2006/metadata/properties" ma:root="true" ma:fieldsID="39b886afd56d23f5aa32d0114aa3848e" ns2:_="" ns3:_="">
    <xsd:import namespace="eadeffa9-c60d-446f-a6a1-c28433f515e1"/>
    <xsd:import namespace="d90a29ea-71f8-41fc-a5f6-5f1ad2e5a016"/>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effa9-c60d-446f-a6a1-c28433f515e1" elementFormDefault="qualified">
    <xsd:import namespace="http://schemas.microsoft.com/office/2006/documentManagement/types"/>
    <xsd:import namespace="http://schemas.microsoft.com/office/infopath/2007/PartnerControls"/>
    <xsd:element name="TaxCatchAll" ma:index="8" nillable="true" ma:displayName="Catch-all-kolom van taxonomie" ma:hidden="true" ma:list="{10cdebd1-65d7-4441-8444-d194cb3cfdc6}" ma:internalName="TaxCatchAll" ma:showField="CatchAllData" ma:web="eadeffa9-c60d-446f-a6a1-c28433f515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0a29ea-71f8-41fc-a5f6-5f1ad2e5a01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623e9dc-0829-43ce-b3a5-e6f4cafcb6f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1104F-8D0D-4353-A710-3CF07317615C}">
  <ds:schemaRefs>
    <ds:schemaRef ds:uri="http://schemas.microsoft.com/sharepoint/v3/contenttype/forms"/>
  </ds:schemaRefs>
</ds:datastoreItem>
</file>

<file path=customXml/itemProps2.xml><?xml version="1.0" encoding="utf-8"?>
<ds:datastoreItem xmlns:ds="http://schemas.openxmlformats.org/officeDocument/2006/customXml" ds:itemID="{D25B2B25-67FA-413D-8738-333E35681D56}">
  <ds:schemaRefs>
    <ds:schemaRef ds:uri="http://schemas.microsoft.com/office/2006/metadata/properties"/>
    <ds:schemaRef ds:uri="http://schemas.microsoft.com/office/infopath/2007/PartnerControls"/>
    <ds:schemaRef ds:uri="d90a29ea-71f8-41fc-a5f6-5f1ad2e5a016"/>
    <ds:schemaRef ds:uri="eadeffa9-c60d-446f-a6a1-c28433f515e1"/>
  </ds:schemaRefs>
</ds:datastoreItem>
</file>

<file path=customXml/itemProps3.xml><?xml version="1.0" encoding="utf-8"?>
<ds:datastoreItem xmlns:ds="http://schemas.openxmlformats.org/officeDocument/2006/customXml" ds:itemID="{37A0A630-4575-E647-A7D9-0A2D7C8FE845}">
  <ds:schemaRefs>
    <ds:schemaRef ds:uri="http://schemas.openxmlformats.org/officeDocument/2006/bibliography"/>
  </ds:schemaRefs>
</ds:datastoreItem>
</file>

<file path=customXml/itemProps4.xml><?xml version="1.0" encoding="utf-8"?>
<ds:datastoreItem xmlns:ds="http://schemas.openxmlformats.org/officeDocument/2006/customXml" ds:itemID="{EDC26E67-23AD-4942-A296-543ADB435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effa9-c60d-446f-a6a1-c28433f515e1"/>
    <ds:schemaRef ds:uri="d90a29ea-71f8-41fc-a5f6-5f1ad2e5a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Imane Saïdi</dc:creator>
  <cp:keywords/>
  <dc:description/>
  <cp:lastModifiedBy>Nils Tollefsen</cp:lastModifiedBy>
  <cp:revision>3</cp:revision>
  <cp:lastPrinted>2026-04-09T15:01:00Z</cp:lastPrinted>
  <dcterms:created xsi:type="dcterms:W3CDTF">2026-08-07T12:34:00Z</dcterms:created>
  <dcterms:modified xsi:type="dcterms:W3CDTF">2026-08-07T12:37:00Z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0x010100C6866D255C56D445B6414C83E8C8816B</vt:lpwstr>
  </property>
  <property fmtid="{D5CDD505-2E9C-101B-9397-08002B2CF9AE}" pid="3" name="MediaServiceImageTags">
    <vt:lpwstr/>
  </property>
</Properties>
</file>